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587C" w14:textId="5D3B455B" w:rsidR="00C55246" w:rsidRDefault="00C55246" w:rsidP="004B5BA3">
      <w:pPr>
        <w:spacing w:after="0"/>
        <w:jc w:val="center"/>
        <w:rPr>
          <w:rFonts w:ascii="Calibri" w:eastAsiaTheme="minorHAnsi" w:hAnsi="Calibri" w:cs="Calibri"/>
          <w:b/>
          <w:bCs/>
          <w:sz w:val="20"/>
          <w:szCs w:val="20"/>
          <w:lang w:val="pt-BR"/>
        </w:rPr>
      </w:pPr>
      <w:bookmarkStart w:id="0" w:name="_Hlk230092245"/>
      <w:permStart w:id="1261438050" w:edGrp="everyone"/>
      <w:r>
        <w:rPr>
          <w:rFonts w:ascii="Calibri" w:eastAsiaTheme="minorHAnsi" w:hAnsi="Calibri" w:cs="Calibri"/>
          <w:b/>
          <w:bCs/>
          <w:sz w:val="20"/>
          <w:szCs w:val="20"/>
          <w:lang w:val="pt-BR"/>
        </w:rPr>
        <w:t>ANEXO I – MODELO DE PROPOSTA COMERCIAL</w:t>
      </w:r>
    </w:p>
    <w:p w14:paraId="6166388F" w14:textId="77777777" w:rsidR="004B5BA3" w:rsidRPr="00047908" w:rsidRDefault="004B5BA3" w:rsidP="004B5BA3">
      <w:pPr>
        <w:spacing w:after="0" w:line="240" w:lineRule="auto"/>
        <w:jc w:val="both"/>
        <w:rPr>
          <w:rFonts w:ascii="Calibri" w:eastAsiaTheme="minorHAnsi" w:hAnsi="Calibri" w:cs="Calibri"/>
          <w:sz w:val="20"/>
          <w:szCs w:val="20"/>
          <w:lang w:val="pt-BR"/>
        </w:rPr>
      </w:pPr>
    </w:p>
    <w:p w14:paraId="2994C2A2" w14:textId="77777777" w:rsidR="004B5BA3" w:rsidRPr="00047908" w:rsidRDefault="004B5BA3" w:rsidP="00776C60">
      <w:pPr>
        <w:pStyle w:val="SemEspaamento"/>
        <w:rPr>
          <w:rFonts w:ascii="Calibri" w:hAnsi="Calibri" w:cs="Calibri"/>
          <w:sz w:val="20"/>
          <w:szCs w:val="20"/>
        </w:rPr>
      </w:pPr>
      <w:r w:rsidRPr="00047908">
        <w:rPr>
          <w:rFonts w:ascii="Calibri" w:hAnsi="Calibri" w:cs="Calibri"/>
          <w:sz w:val="20"/>
          <w:szCs w:val="20"/>
        </w:rPr>
        <w:t>Razão Social:</w:t>
      </w:r>
    </w:p>
    <w:p w14:paraId="4AFB7DEB" w14:textId="77777777" w:rsidR="004B5BA3" w:rsidRPr="00047908" w:rsidRDefault="004B5BA3" w:rsidP="00776C60">
      <w:pPr>
        <w:pStyle w:val="SemEspaamento"/>
        <w:rPr>
          <w:rFonts w:ascii="Calibri" w:hAnsi="Calibri" w:cs="Calibri"/>
          <w:sz w:val="20"/>
          <w:szCs w:val="20"/>
        </w:rPr>
      </w:pPr>
      <w:r w:rsidRPr="00047908">
        <w:rPr>
          <w:rFonts w:ascii="Calibri" w:hAnsi="Calibri" w:cs="Calibri"/>
          <w:sz w:val="20"/>
          <w:szCs w:val="20"/>
        </w:rPr>
        <w:t>CNPJ:</w:t>
      </w:r>
    </w:p>
    <w:p w14:paraId="2D1A7BA3" w14:textId="77777777" w:rsidR="004B5BA3" w:rsidRPr="00047908" w:rsidRDefault="004B5BA3" w:rsidP="00776C60">
      <w:pPr>
        <w:pStyle w:val="SemEspaamento"/>
        <w:rPr>
          <w:rFonts w:ascii="Calibri" w:hAnsi="Calibri" w:cs="Calibri"/>
          <w:sz w:val="20"/>
          <w:szCs w:val="20"/>
        </w:rPr>
      </w:pPr>
      <w:r w:rsidRPr="00047908">
        <w:rPr>
          <w:rFonts w:ascii="Calibri" w:hAnsi="Calibri" w:cs="Calibri"/>
          <w:sz w:val="20"/>
          <w:szCs w:val="20"/>
        </w:rPr>
        <w:t>E-mail:</w:t>
      </w:r>
    </w:p>
    <w:p w14:paraId="6C05D8D4" w14:textId="3F20297C" w:rsidR="004B5BA3" w:rsidRPr="00047908" w:rsidRDefault="004B5BA3" w:rsidP="00776C60">
      <w:pPr>
        <w:pStyle w:val="SemEspaamento"/>
        <w:rPr>
          <w:rFonts w:ascii="Calibri" w:hAnsi="Calibri" w:cs="Calibri"/>
        </w:rPr>
      </w:pPr>
      <w:r w:rsidRPr="00047908">
        <w:rPr>
          <w:rFonts w:ascii="Calibri" w:hAnsi="Calibri" w:cs="Calibri"/>
          <w:sz w:val="20"/>
          <w:szCs w:val="20"/>
        </w:rPr>
        <w:t>Tel.:</w:t>
      </w:r>
      <w:r w:rsidR="007132D6" w:rsidRPr="00047908">
        <w:rPr>
          <w:rFonts w:ascii="Calibri" w:hAnsi="Calibri" w:cs="Calibri"/>
          <w:sz w:val="20"/>
          <w:szCs w:val="20"/>
        </w:rPr>
        <w:br/>
      </w:r>
    </w:p>
    <w:p w14:paraId="1FD6DB6B" w14:textId="5B40C394" w:rsidR="007132D6" w:rsidRPr="00047908" w:rsidRDefault="004B5BA3" w:rsidP="00672493">
      <w:pPr>
        <w:pStyle w:val="SemEspaamento"/>
        <w:ind w:firstLine="709"/>
        <w:jc w:val="both"/>
        <w:rPr>
          <w:rFonts w:ascii="Calibri" w:hAnsi="Calibri" w:cs="Calibri"/>
        </w:rPr>
      </w:pPr>
      <w:r w:rsidRPr="00047908">
        <w:rPr>
          <w:rFonts w:ascii="Calibri" w:hAnsi="Calibri" w:cs="Calibri"/>
        </w:rPr>
        <w:t>Proposta que faz para</w:t>
      </w:r>
      <w:r w:rsidR="007132D6" w:rsidRPr="00047908">
        <w:rPr>
          <w:rFonts w:ascii="Calibri" w:hAnsi="Calibri" w:cs="Calibri"/>
          <w:b/>
          <w:bCs/>
        </w:rPr>
        <w:t xml:space="preserve"> </w:t>
      </w:r>
      <w:r w:rsidR="009B420F" w:rsidRPr="00047908">
        <w:rPr>
          <w:rFonts w:ascii="Calibri" w:hAnsi="Calibri" w:cs="Calibri"/>
          <w:b/>
          <w:bCs/>
        </w:rPr>
        <w:t>prestação de serviços de desmontagem, transporte, montagem de armários de ferro, bem como o transporte de caixas de arquivo</w:t>
      </w:r>
      <w:r w:rsidR="009F4334" w:rsidRPr="00047908">
        <w:rPr>
          <w:rFonts w:ascii="Calibri" w:hAnsi="Calibri" w:cs="Calibri"/>
          <w:b/>
          <w:bCs/>
        </w:rPr>
        <w:t>, documento e materiais correlatos, destinados à transferência de bens patrimoniais e acervo administrativo para o novo Prédio Anexo da Câmara Municipal de Sumaré.</w:t>
      </w:r>
      <w:r w:rsidR="00BC67AB" w:rsidRPr="00047908">
        <w:rPr>
          <w:rFonts w:ascii="Calibri" w:hAnsi="Calibri" w:cs="Calibri"/>
          <w:b/>
          <w:bCs/>
        </w:rPr>
        <w:t xml:space="preserve"> </w:t>
      </w:r>
      <w:r w:rsidR="007132D6" w:rsidRPr="00047908">
        <w:rPr>
          <w:rFonts w:ascii="Calibri" w:hAnsi="Calibri" w:cs="Calibri"/>
        </w:rPr>
        <w:t xml:space="preserve">Valor total da contratação é de </w:t>
      </w:r>
      <w:r w:rsidRPr="00047908">
        <w:rPr>
          <w:rFonts w:ascii="Calibri" w:hAnsi="Calibri" w:cs="Calibri"/>
        </w:rPr>
        <w:t>R$ _______________, já inclusos todos os custos necessários tais como impostos, taxas, tributos e quaisquer outras despesas que incidam ou venham a incidir sobre o objeto.</w:t>
      </w:r>
    </w:p>
    <w:p w14:paraId="4196302C" w14:textId="7B01D76F" w:rsidR="007132D6" w:rsidRPr="00047908" w:rsidRDefault="007132D6" w:rsidP="00A01B8E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Style w:val="Tabelacomgrade"/>
        <w:tblW w:w="9218" w:type="dxa"/>
        <w:tblInd w:w="-5" w:type="dxa"/>
        <w:tblLook w:val="04A0" w:firstRow="1" w:lastRow="0" w:firstColumn="1" w:lastColumn="0" w:noHBand="0" w:noVBand="1"/>
      </w:tblPr>
      <w:tblGrid>
        <w:gridCol w:w="641"/>
        <w:gridCol w:w="5670"/>
        <w:gridCol w:w="695"/>
        <w:gridCol w:w="643"/>
        <w:gridCol w:w="1569"/>
      </w:tblGrid>
      <w:tr w:rsidR="00672493" w:rsidRPr="00047908" w14:paraId="68388964" w14:textId="5FE5BB25" w:rsidTr="006E1094">
        <w:trPr>
          <w:trHeight w:val="644"/>
        </w:trPr>
        <w:tc>
          <w:tcPr>
            <w:tcW w:w="9218" w:type="dxa"/>
            <w:gridSpan w:val="5"/>
            <w:shd w:val="clear" w:color="auto" w:fill="D9E2F3" w:themeFill="accent1" w:themeFillTint="33"/>
            <w:vAlign w:val="center"/>
          </w:tcPr>
          <w:p w14:paraId="0B4956AF" w14:textId="4CD48F93" w:rsidR="00672493" w:rsidRPr="00047908" w:rsidRDefault="00672493" w:rsidP="003A1BDE">
            <w:pPr>
              <w:pStyle w:val="PargrafodaLista"/>
              <w:numPr>
                <w:ilvl w:val="0"/>
                <w:numId w:val="25"/>
              </w:num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Os objetos (acervo) da Escola do Legislativo Professor Ceilita Miranda de Nadai serão transportados da Rua Dom Barreto, nº 1482, Centro, para a Rua Antônio Carvalho, n°44, Sumaré-SP.</w:t>
            </w:r>
          </w:p>
        </w:tc>
      </w:tr>
      <w:tr w:rsidR="00672493" w:rsidRPr="00047908" w14:paraId="3E978B7E" w14:textId="178F1BB1" w:rsidTr="006E1094">
        <w:trPr>
          <w:trHeight w:val="64"/>
        </w:trPr>
        <w:tc>
          <w:tcPr>
            <w:tcW w:w="641" w:type="dxa"/>
            <w:shd w:val="clear" w:color="auto" w:fill="D9E2F3" w:themeFill="accent1" w:themeFillTint="33"/>
            <w:vAlign w:val="center"/>
          </w:tcPr>
          <w:p w14:paraId="3BB5AAAE" w14:textId="77777777" w:rsidR="00672493" w:rsidRPr="00047908" w:rsidRDefault="00672493" w:rsidP="003A1BDE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67789349"/>
            <w:bookmarkStart w:id="2" w:name="_Hlk165294275"/>
            <w:r w:rsidRPr="00047908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</w:tcPr>
          <w:p w14:paraId="14F2BDFE" w14:textId="77777777" w:rsidR="00672493" w:rsidRPr="00047908" w:rsidRDefault="00672493" w:rsidP="003A1BDE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3F6F7EA8" w14:textId="77777777" w:rsidR="00672493" w:rsidRPr="00047908" w:rsidRDefault="00672493" w:rsidP="003A1BDE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Unid.</w:t>
            </w:r>
          </w:p>
        </w:tc>
        <w:tc>
          <w:tcPr>
            <w:tcW w:w="643" w:type="dxa"/>
            <w:shd w:val="clear" w:color="auto" w:fill="D9E2F3" w:themeFill="accent1" w:themeFillTint="33"/>
            <w:vAlign w:val="center"/>
          </w:tcPr>
          <w:p w14:paraId="335AD484" w14:textId="77777777" w:rsidR="00672493" w:rsidRPr="00047908" w:rsidRDefault="00672493" w:rsidP="003A1BDE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Qtd.</w:t>
            </w:r>
          </w:p>
        </w:tc>
        <w:tc>
          <w:tcPr>
            <w:tcW w:w="1566" w:type="dxa"/>
            <w:shd w:val="clear" w:color="auto" w:fill="D9E2F3" w:themeFill="accent1" w:themeFillTint="33"/>
          </w:tcPr>
          <w:p w14:paraId="68261DE7" w14:textId="36CB11C6" w:rsidR="00672493" w:rsidRPr="00047908" w:rsidRDefault="00672493" w:rsidP="003A1BDE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 xml:space="preserve">Valor </w:t>
            </w:r>
            <w:r w:rsidR="006E1094" w:rsidRPr="00047908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</w:tr>
      <w:bookmarkEnd w:id="1"/>
      <w:tr w:rsidR="00672493" w:rsidRPr="00047908" w14:paraId="4956F2F1" w14:textId="1956277F" w:rsidTr="00A12913">
        <w:trPr>
          <w:trHeight w:val="2078"/>
        </w:trPr>
        <w:tc>
          <w:tcPr>
            <w:tcW w:w="641" w:type="dxa"/>
            <w:vAlign w:val="center"/>
          </w:tcPr>
          <w:p w14:paraId="56CF3BCF" w14:textId="77777777" w:rsidR="00672493" w:rsidRPr="00047908" w:rsidRDefault="00672493" w:rsidP="00A477F9">
            <w:pPr>
              <w:spacing w:after="120" w:line="36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5670" w:type="dxa"/>
          </w:tcPr>
          <w:p w14:paraId="2D591965" w14:textId="342AB438" w:rsidR="00672493" w:rsidRPr="00047908" w:rsidRDefault="00672493" w:rsidP="007443D3">
            <w:pPr>
              <w:pStyle w:val="PargrafodaLista"/>
              <w:numPr>
                <w:ilvl w:val="0"/>
                <w:numId w:val="23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Retirada integral de todo o acervo: caixas de arquivos (aproximadamente 3.000 unid. Medida: alt.25 cm x lar. 14 cm x prof. 35, livros (aproximadamente 500 unid.)</w:t>
            </w:r>
          </w:p>
          <w:p w14:paraId="4E300BE9" w14:textId="77777777" w:rsidR="00672493" w:rsidRPr="00047908" w:rsidRDefault="00672493" w:rsidP="007443D3">
            <w:pPr>
              <w:pStyle w:val="PargrafodaLista"/>
              <w:numPr>
                <w:ilvl w:val="0"/>
                <w:numId w:val="23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Desmontagem e Montagem de conjuntos de estantes de aço, com medidas de alt. 197 cm x larg. 92 cm x prof.50cm;</w:t>
            </w:r>
          </w:p>
          <w:p w14:paraId="2445C9C8" w14:textId="77777777" w:rsidR="00672493" w:rsidRPr="00047908" w:rsidRDefault="00672493" w:rsidP="007443D3">
            <w:pPr>
              <w:pStyle w:val="PargrafodaLista"/>
              <w:numPr>
                <w:ilvl w:val="0"/>
                <w:numId w:val="23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Transporte armário tipo vestiário alt. 195 cm x larg. 93 cm x prof. 41 cm;</w:t>
            </w:r>
          </w:p>
          <w:p w14:paraId="468C540D" w14:textId="70A5FB09" w:rsidR="00672493" w:rsidRPr="00047908" w:rsidRDefault="00672493" w:rsidP="007443D3">
            <w:pPr>
              <w:pStyle w:val="PargrafodaLista"/>
              <w:numPr>
                <w:ilvl w:val="0"/>
                <w:numId w:val="23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Descarregamento e organização do material no novo espaço, priorizando a segurança estrutural do empilhamento</w:t>
            </w:r>
          </w:p>
        </w:tc>
        <w:tc>
          <w:tcPr>
            <w:tcW w:w="695" w:type="dxa"/>
            <w:vAlign w:val="center"/>
          </w:tcPr>
          <w:p w14:paraId="10813E0F" w14:textId="77777777" w:rsidR="00672493" w:rsidRPr="00047908" w:rsidRDefault="00672493" w:rsidP="008A0059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Serv.</w:t>
            </w:r>
          </w:p>
        </w:tc>
        <w:tc>
          <w:tcPr>
            <w:tcW w:w="643" w:type="dxa"/>
            <w:vAlign w:val="center"/>
          </w:tcPr>
          <w:p w14:paraId="493675ED" w14:textId="77777777" w:rsidR="00672493" w:rsidRPr="00047908" w:rsidRDefault="00672493" w:rsidP="008A005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1566" w:type="dxa"/>
          </w:tcPr>
          <w:p w14:paraId="1936014A" w14:textId="77777777" w:rsidR="00672493" w:rsidRPr="00047908" w:rsidRDefault="00672493" w:rsidP="008A005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72493" w:rsidRPr="00047908" w14:paraId="62BAAB6F" w14:textId="47DC38AB" w:rsidTr="006E1094">
        <w:trPr>
          <w:trHeight w:val="4422"/>
        </w:trPr>
        <w:tc>
          <w:tcPr>
            <w:tcW w:w="641" w:type="dxa"/>
            <w:vAlign w:val="center"/>
          </w:tcPr>
          <w:p w14:paraId="08486137" w14:textId="77777777" w:rsidR="00672493" w:rsidRPr="00047908" w:rsidRDefault="00672493" w:rsidP="00A01B8E">
            <w:pPr>
              <w:spacing w:after="12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C636EC" w14:textId="77777777" w:rsidR="00672493" w:rsidRPr="00047908" w:rsidRDefault="00672493" w:rsidP="00A477F9">
            <w:pPr>
              <w:spacing w:after="120" w:line="36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5670" w:type="dxa"/>
          </w:tcPr>
          <w:p w14:paraId="37F05FEA" w14:textId="77777777" w:rsidR="00672493" w:rsidRPr="00047908" w:rsidRDefault="00672493" w:rsidP="009B6BC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Serviço de desmontagem, transporte e montagem de armários de ferro. Sendo:</w:t>
            </w:r>
          </w:p>
          <w:p w14:paraId="1B9C6BC0" w14:textId="77777777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07 armários sobre trilhos com prateleiras, com metragem aprox. de alt. 175 cm x larg. 214 cm x prof. 86 cm;</w:t>
            </w:r>
          </w:p>
          <w:p w14:paraId="5ADE7320" w14:textId="77777777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 armário sobre trilho com prateleiras, com metragem aprox. de alt. 237 cm x larg. 430 cm x prof. 75 cm;</w:t>
            </w:r>
          </w:p>
          <w:p w14:paraId="22F36C51" w14:textId="77777777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01 armário sobre trilho com prateleiras, com metragem 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aprox..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de alt. 237 cm x larg. 430 cm x prof. 43 cm;</w:t>
            </w:r>
          </w:p>
          <w:p w14:paraId="6F8F2329" w14:textId="77777777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05 armários sobre trilho com prateleiras, com metragem 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aprox..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de alt. 218 cm x larg. 110 cm x prof. 47 cm.;</w:t>
            </w:r>
          </w:p>
          <w:p w14:paraId="6144BD86" w14:textId="77777777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02 armários sobre trilho com prateleiras, com metragem 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aprox..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de alt. 218 cm x larg. 110 cm x prof. 85 cm.;</w:t>
            </w:r>
          </w:p>
          <w:p w14:paraId="2527B199" w14:textId="77777777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01 armário sobre trilho com prateleiras, com metragem 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aprox..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proofErr w:type="spell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alt</w:t>
            </w:r>
            <w:proofErr w:type="spell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218 cm x larg. 110 cm x prof. 77 cm.</w:t>
            </w:r>
          </w:p>
          <w:p w14:paraId="7ED4EDFB" w14:textId="780378D0" w:rsidR="00672493" w:rsidRPr="00047908" w:rsidRDefault="00672493" w:rsidP="009B6BC8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Transporte de cadeiras com base fi</w:t>
            </w:r>
            <w:r w:rsidR="00C02D1D" w:rsidRPr="0004790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 (37 unid.), cadeiras giratórias (07 unid.), sofás 03 lugares (02 unid.), sofá 01 lugar (01 unid.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),refrigerador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(01 unid.), purificador de água (02 </w:t>
            </w:r>
            <w:proofErr w:type="spell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unid</w:t>
            </w:r>
            <w:proofErr w:type="spell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), mesa, balcão, armários, nichos e demais itens</w:t>
            </w:r>
            <w:r w:rsidR="007443D3" w:rsidRPr="0004790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695" w:type="dxa"/>
            <w:vAlign w:val="center"/>
          </w:tcPr>
          <w:p w14:paraId="49BAA740" w14:textId="77777777" w:rsidR="00672493" w:rsidRPr="00047908" w:rsidRDefault="00672493" w:rsidP="00BC67AB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AF1FD7" w14:textId="77777777" w:rsidR="00672493" w:rsidRPr="00047908" w:rsidRDefault="00672493" w:rsidP="00BC67AB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1652990" w14:textId="77777777" w:rsidR="00672493" w:rsidRPr="00047908" w:rsidRDefault="00672493" w:rsidP="00BC67AB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Serv.</w:t>
            </w:r>
          </w:p>
        </w:tc>
        <w:tc>
          <w:tcPr>
            <w:tcW w:w="643" w:type="dxa"/>
            <w:vAlign w:val="center"/>
          </w:tcPr>
          <w:p w14:paraId="7F676A2F" w14:textId="3EE79C7B" w:rsidR="00672493" w:rsidRPr="00047908" w:rsidRDefault="00BC67AB" w:rsidP="00BC67A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  <w:p w14:paraId="3D618F13" w14:textId="77777777" w:rsidR="00672493" w:rsidRPr="00047908" w:rsidRDefault="00672493" w:rsidP="00BC67A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1566" w:type="dxa"/>
          </w:tcPr>
          <w:p w14:paraId="6676C838" w14:textId="77777777" w:rsidR="00672493" w:rsidRPr="00047908" w:rsidRDefault="00672493" w:rsidP="00A477F9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-83"/>
        <w:tblW w:w="9209" w:type="dxa"/>
        <w:tblLook w:val="04A0" w:firstRow="1" w:lastRow="0" w:firstColumn="1" w:lastColumn="0" w:noHBand="0" w:noVBand="1"/>
      </w:tblPr>
      <w:tblGrid>
        <w:gridCol w:w="684"/>
        <w:gridCol w:w="5548"/>
        <w:gridCol w:w="808"/>
        <w:gridCol w:w="616"/>
        <w:gridCol w:w="1553"/>
      </w:tblGrid>
      <w:tr w:rsidR="008A0059" w:rsidRPr="00047908" w14:paraId="2A18881C" w14:textId="77777777" w:rsidTr="0026448F">
        <w:trPr>
          <w:trHeight w:val="132"/>
        </w:trPr>
        <w:tc>
          <w:tcPr>
            <w:tcW w:w="9209" w:type="dxa"/>
            <w:gridSpan w:val="5"/>
            <w:shd w:val="clear" w:color="auto" w:fill="D9E2F3" w:themeFill="accent1" w:themeFillTint="33"/>
            <w:vAlign w:val="center"/>
          </w:tcPr>
          <w:bookmarkEnd w:id="2"/>
          <w:p w14:paraId="09840DF8" w14:textId="77777777" w:rsidR="008A0059" w:rsidRPr="00047908" w:rsidRDefault="008A0059" w:rsidP="008A0059">
            <w:pPr>
              <w:pStyle w:val="PargrafodaLista"/>
              <w:numPr>
                <w:ilvl w:val="0"/>
                <w:numId w:val="25"/>
              </w:num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Os objetos do Prédio anexo Ângelo Augusto Perugine serão transportados da Rua Bárbara Blumer, n º 41 – para a Rua Dom Barreto, n° 1482, Centro, Sumaré-SP.</w:t>
            </w:r>
          </w:p>
        </w:tc>
      </w:tr>
      <w:tr w:rsidR="006B4B8C" w:rsidRPr="00047908" w14:paraId="09C57EB2" w14:textId="77777777" w:rsidTr="006B4B8C">
        <w:trPr>
          <w:trHeight w:val="64"/>
        </w:trPr>
        <w:tc>
          <w:tcPr>
            <w:tcW w:w="684" w:type="dxa"/>
            <w:shd w:val="clear" w:color="auto" w:fill="D9E2F3" w:themeFill="accent1" w:themeFillTint="33"/>
            <w:vAlign w:val="center"/>
          </w:tcPr>
          <w:p w14:paraId="0A2A69AD" w14:textId="77777777" w:rsidR="008A0059" w:rsidRPr="00047908" w:rsidRDefault="008A0059" w:rsidP="006B4B8C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5548" w:type="dxa"/>
            <w:shd w:val="clear" w:color="auto" w:fill="D9E2F3" w:themeFill="accent1" w:themeFillTint="33"/>
            <w:vAlign w:val="center"/>
          </w:tcPr>
          <w:p w14:paraId="1824BA9D" w14:textId="77777777" w:rsidR="008A0059" w:rsidRPr="00047908" w:rsidRDefault="008A0059" w:rsidP="006B4B8C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808" w:type="dxa"/>
            <w:shd w:val="clear" w:color="auto" w:fill="D9E2F3" w:themeFill="accent1" w:themeFillTint="33"/>
            <w:vAlign w:val="center"/>
          </w:tcPr>
          <w:p w14:paraId="5417C551" w14:textId="77777777" w:rsidR="008A0059" w:rsidRPr="00047908" w:rsidRDefault="008A0059" w:rsidP="006B4B8C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Unid.</w:t>
            </w:r>
          </w:p>
        </w:tc>
        <w:tc>
          <w:tcPr>
            <w:tcW w:w="616" w:type="dxa"/>
            <w:shd w:val="clear" w:color="auto" w:fill="D9E2F3" w:themeFill="accent1" w:themeFillTint="33"/>
            <w:vAlign w:val="center"/>
          </w:tcPr>
          <w:p w14:paraId="2EF99BAE" w14:textId="77777777" w:rsidR="008A0059" w:rsidRPr="00047908" w:rsidRDefault="008A0059" w:rsidP="006B4B8C">
            <w:pPr>
              <w:spacing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Qtd.</w:t>
            </w:r>
          </w:p>
        </w:tc>
        <w:tc>
          <w:tcPr>
            <w:tcW w:w="1553" w:type="dxa"/>
            <w:shd w:val="clear" w:color="auto" w:fill="D9E2F3" w:themeFill="accent1" w:themeFillTint="33"/>
            <w:vAlign w:val="center"/>
          </w:tcPr>
          <w:p w14:paraId="38D6213A" w14:textId="6695EF1A" w:rsidR="008A0059" w:rsidRPr="00047908" w:rsidRDefault="006B4B8C" w:rsidP="00C02D1D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 xml:space="preserve">Valor </w:t>
            </w:r>
            <w:r w:rsidR="00C02D1D" w:rsidRPr="00047908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</w:tr>
      <w:tr w:rsidR="006B4B8C" w:rsidRPr="00047908" w14:paraId="6075CA7E" w14:textId="77777777" w:rsidTr="006B4B8C">
        <w:tc>
          <w:tcPr>
            <w:tcW w:w="684" w:type="dxa"/>
            <w:vAlign w:val="center"/>
          </w:tcPr>
          <w:p w14:paraId="789A3738" w14:textId="7AE36E25" w:rsidR="008A0059" w:rsidRPr="00047908" w:rsidRDefault="009B6BC8" w:rsidP="00C02D1D">
            <w:pPr>
              <w:spacing w:after="120"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8A0059" w:rsidRPr="00047908"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5548" w:type="dxa"/>
          </w:tcPr>
          <w:p w14:paraId="4F456743" w14:textId="10BBBE80" w:rsidR="008A0059" w:rsidRPr="00047908" w:rsidRDefault="00E5079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A0059" w:rsidRPr="00047908">
              <w:rPr>
                <w:rFonts w:ascii="Calibri" w:hAnsi="Calibri" w:cs="Calibri"/>
                <w:bCs/>
                <w:sz w:val="20"/>
                <w:szCs w:val="20"/>
              </w:rPr>
              <w:t>Coleta e transporte manual de materiais diversos (papelaria, insumos de limpeza, descartáveis e demais itens);</w:t>
            </w:r>
          </w:p>
          <w:p w14:paraId="3497625D" w14:textId="7B3B5BFE" w:rsidR="008A0059" w:rsidRPr="00047908" w:rsidRDefault="008A0059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Posicionamento final e a setorização dos itens dentro dos novos armários orientado pelo responsável pelo almoxarife;</w:t>
            </w:r>
          </w:p>
          <w:p w14:paraId="2EA54847" w14:textId="34512C4F" w:rsidR="008A0059" w:rsidRPr="00047908" w:rsidRDefault="008A0059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Acondicionamento dos materiais nas prateleiras conforme disponibilidade de espaço, priorizando a integridade das embalagens e a segurança no empilhamento;</w:t>
            </w:r>
          </w:p>
          <w:p w14:paraId="4A37EB68" w14:textId="383EB202" w:rsidR="008A0059" w:rsidRPr="00047908" w:rsidRDefault="008A0059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Coleta e armazenamento de pinos de segurança, parafusos e componentes de fixação em recipientes</w:t>
            </w:r>
            <w:r w:rsidR="00B746C3"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específicos para evitar perdas</w:t>
            </w:r>
            <w:r w:rsidR="007443D3" w:rsidRPr="0004790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08" w:type="dxa"/>
            <w:vAlign w:val="center"/>
          </w:tcPr>
          <w:p w14:paraId="5E4ED3B7" w14:textId="77777777" w:rsidR="008A0059" w:rsidRPr="00047908" w:rsidRDefault="008A0059" w:rsidP="006B4B8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Serv.</w:t>
            </w:r>
          </w:p>
        </w:tc>
        <w:tc>
          <w:tcPr>
            <w:tcW w:w="616" w:type="dxa"/>
            <w:vAlign w:val="center"/>
          </w:tcPr>
          <w:p w14:paraId="111CF2A5" w14:textId="77777777" w:rsidR="008A0059" w:rsidRPr="00047908" w:rsidRDefault="008A0059" w:rsidP="006B4B8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1553" w:type="dxa"/>
          </w:tcPr>
          <w:p w14:paraId="1E954B48" w14:textId="77777777" w:rsidR="008A0059" w:rsidRPr="00047908" w:rsidRDefault="008A0059" w:rsidP="008A0059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89218CF" w14:textId="64984059" w:rsidR="00A01B8E" w:rsidRPr="00047908" w:rsidRDefault="00A01B8E" w:rsidP="00A01B8E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9209" w:type="dxa"/>
        <w:tblInd w:w="-5" w:type="dxa"/>
        <w:tblLook w:val="04A0" w:firstRow="1" w:lastRow="0" w:firstColumn="1" w:lastColumn="0" w:noHBand="0" w:noVBand="1"/>
      </w:tblPr>
      <w:tblGrid>
        <w:gridCol w:w="674"/>
        <w:gridCol w:w="5705"/>
        <w:gridCol w:w="707"/>
        <w:gridCol w:w="584"/>
        <w:gridCol w:w="1539"/>
      </w:tblGrid>
      <w:tr w:rsidR="003A1BDE" w:rsidRPr="00047908" w14:paraId="42A0DA73" w14:textId="77777777" w:rsidTr="00047908">
        <w:tc>
          <w:tcPr>
            <w:tcW w:w="9209" w:type="dxa"/>
            <w:gridSpan w:val="5"/>
            <w:vAlign w:val="center"/>
          </w:tcPr>
          <w:p w14:paraId="015F5DDF" w14:textId="3A25614B" w:rsidR="003A1BDE" w:rsidRPr="00047908" w:rsidRDefault="003A1BDE" w:rsidP="006E1094">
            <w:pPr>
              <w:pStyle w:val="PargrafodaLista"/>
              <w:numPr>
                <w:ilvl w:val="0"/>
                <w:numId w:val="25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 xml:space="preserve">Os objetos do Prédio anexo Ângelo Augusto Perugine serão transportados da Rua Bárbara </w:t>
            </w:r>
            <w:proofErr w:type="spellStart"/>
            <w:r w:rsidRPr="00047908">
              <w:rPr>
                <w:rFonts w:ascii="Calibri" w:hAnsi="Calibri" w:cs="Calibri"/>
                <w:b/>
                <w:sz w:val="20"/>
                <w:szCs w:val="20"/>
              </w:rPr>
              <w:t>Blumer</w:t>
            </w:r>
            <w:proofErr w:type="spellEnd"/>
            <w:r w:rsidRPr="00047908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="003B53F3" w:rsidRPr="0004790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n º 41 – para a Rua Antônio de Carvalho, n° 44, Centro, Sumaré-SP.</w:t>
            </w:r>
          </w:p>
        </w:tc>
      </w:tr>
      <w:tr w:rsidR="006E1094" w:rsidRPr="00047908" w14:paraId="552D338D" w14:textId="24A4002E" w:rsidTr="00047908">
        <w:tc>
          <w:tcPr>
            <w:tcW w:w="674" w:type="dxa"/>
            <w:vAlign w:val="center"/>
          </w:tcPr>
          <w:p w14:paraId="243EAC16" w14:textId="4BF9C789" w:rsidR="008A0059" w:rsidRPr="00047908" w:rsidRDefault="008A0059" w:rsidP="003A1BDE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5705" w:type="dxa"/>
          </w:tcPr>
          <w:p w14:paraId="5FD3C6ED" w14:textId="74C186AA" w:rsidR="008A0059" w:rsidRPr="00047908" w:rsidRDefault="008A0059" w:rsidP="008A00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707" w:type="dxa"/>
            <w:vAlign w:val="center"/>
          </w:tcPr>
          <w:p w14:paraId="5A83560D" w14:textId="6AB50FA9" w:rsidR="008A0059" w:rsidRPr="00047908" w:rsidRDefault="008A0059" w:rsidP="003A1BDE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Uni</w:t>
            </w:r>
            <w:r w:rsidR="006E1094" w:rsidRPr="00047908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584" w:type="dxa"/>
            <w:vAlign w:val="center"/>
          </w:tcPr>
          <w:p w14:paraId="09B1BA01" w14:textId="797B7410" w:rsidR="008A0059" w:rsidRPr="00047908" w:rsidRDefault="008A0059" w:rsidP="008A0059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Qtd.</w:t>
            </w:r>
          </w:p>
        </w:tc>
        <w:tc>
          <w:tcPr>
            <w:tcW w:w="1539" w:type="dxa"/>
          </w:tcPr>
          <w:p w14:paraId="42A7B08A" w14:textId="3EBD2CCD" w:rsidR="008A0059" w:rsidRPr="00047908" w:rsidRDefault="008A0059" w:rsidP="003A1BDE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47908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  <w:r w:rsidR="00776C60" w:rsidRPr="00047908">
              <w:rPr>
                <w:rFonts w:ascii="Calibri" w:hAnsi="Calibri" w:cs="Calibri"/>
                <w:b/>
                <w:sz w:val="20"/>
                <w:szCs w:val="20"/>
              </w:rPr>
              <w:t xml:space="preserve"> Total</w:t>
            </w:r>
          </w:p>
        </w:tc>
      </w:tr>
      <w:tr w:rsidR="009E14B0" w:rsidRPr="00047908" w14:paraId="1CC51488" w14:textId="71CA866F" w:rsidTr="00337018">
        <w:tc>
          <w:tcPr>
            <w:tcW w:w="674" w:type="dxa"/>
            <w:vAlign w:val="center"/>
          </w:tcPr>
          <w:p w14:paraId="3ABE9D25" w14:textId="5BCFD86D" w:rsidR="009E14B0" w:rsidRPr="00047908" w:rsidRDefault="009E14B0" w:rsidP="009E14B0">
            <w:pPr>
              <w:spacing w:after="120" w:line="36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7443D3" w:rsidRPr="00047908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705" w:type="dxa"/>
          </w:tcPr>
          <w:p w14:paraId="0D264E99" w14:textId="77777777" w:rsidR="007443D3" w:rsidRPr="00047908" w:rsidRDefault="007443D3" w:rsidP="007443D3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Desmontagem de 03 estantes metálicas (modelo porta-paletes/longarinas);</w:t>
            </w:r>
          </w:p>
          <w:p w14:paraId="4AB9B9BA" w14:textId="77777777" w:rsidR="00E52AF1" w:rsidRDefault="007443D3" w:rsidP="00E52AF1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Transporte das colunas, longarinas e bandejas desmontadas para o prédio anexo locado situado a rua Antônio de Carvalho nº 44;</w:t>
            </w:r>
            <w:r w:rsidR="00E52AF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E6D281" w14:textId="1CB0EE7C" w:rsidR="007443D3" w:rsidRPr="00E52AF1" w:rsidRDefault="007443D3" w:rsidP="00E52AF1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E52AF1">
              <w:rPr>
                <w:rFonts w:ascii="Calibri" w:hAnsi="Calibri" w:cs="Calibri"/>
                <w:bCs/>
                <w:sz w:val="20"/>
                <w:szCs w:val="20"/>
              </w:rPr>
              <w:t>Armazenamento organizado das peças metálicas, separadas por tipo, para facilitar a futura etapa de montagem;</w:t>
            </w:r>
          </w:p>
          <w:p w14:paraId="51FE5AA9" w14:textId="1A7865D1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Desmontagem, transporte e montagem de mini porta palete 3,00 x 1,80 x 0,80 M (alt. X larg. X prof.) 500 kg por nível c/ níveis cada, forro em mdf branco 15 MM (09 unid);</w:t>
            </w:r>
          </w:p>
          <w:p w14:paraId="25E8D9F4" w14:textId="4EEA9B65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Desmontagem, transporte e montagem de mini porta palete 3,00 x 1,20 x 0,80 m (alt. X larg. X prof.) 500 kg por nível c/ 5 níveis cada, forro em mdf branco 15 mm, (06 (unid.);</w:t>
            </w:r>
          </w:p>
          <w:p w14:paraId="70FE2B9F" w14:textId="63A4B180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Desmontagem, transporte, montagem gondola parede branca com 5 bandejas cada 1,70 x 0,96 x 0,40, capacidade 40 kg por bandeja (03 unid.);</w:t>
            </w:r>
          </w:p>
          <w:p w14:paraId="61DC65A0" w14:textId="17BEDC10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Serviço de desmontagem, transporte e montagem de mesas de madeira em “L”, com metragem entre 1,40m x 1,40m e 1,80m x 1,80m com até 65 cm de altura (41 unid.);</w:t>
            </w:r>
          </w:p>
          <w:p w14:paraId="5F33967F" w14:textId="55DB625E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Serviço de desmontagem, transporte e montagem de mesas de madeira, retas, com metragem entre 1,40m x 1,80m, com até 65 cm de altura (10 unid.);</w:t>
            </w:r>
          </w:p>
          <w:p w14:paraId="59216B24" w14:textId="67B91888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Serviço de desmontagem, transporte e montagem de armários de madeira com prateleiras, portas de correr/abertura comum, com metragem entre 2,5m e 2,80m (largura), 0,80m x 1,20 (profundidade) e altura máxima de 3 m (26 unid.);</w:t>
            </w:r>
          </w:p>
          <w:p w14:paraId="72181838" w14:textId="5F6C0A85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Serviço de transporte de gaveteiros com quatro gavetas e rodinhas, com metragem de 0,70m (altura), 0,5m (largura) e 0,40m (profundidade) (33 unid.);</w:t>
            </w:r>
          </w:p>
          <w:p w14:paraId="21661BE0" w14:textId="135CDD8F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Transporte das colunas, longarinas e bandejas desmontadas para o prédio anexo locado situado a rua Antônio de Carvalho nº 44;</w:t>
            </w:r>
          </w:p>
          <w:p w14:paraId="654819D8" w14:textId="47511329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Armazenamento organizado das peças metálicas, separadas por tipo, para facilitar a futura etapa de montagem;</w:t>
            </w:r>
          </w:p>
          <w:p w14:paraId="7BBEC681" w14:textId="0783CE0E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Cadeira Giratória (28 unid.), Cadeira com base fixa (31 unid.), Sofá para três lugares 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( 2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unid.), geladeira (1 unid.), fogão (01 unid.), Sofá para 3 lugares (2 unid.)</w:t>
            </w:r>
            <w:r w:rsidR="007443D3" w:rsidRPr="00047908">
              <w:rPr>
                <w:rFonts w:ascii="Calibri" w:hAnsi="Calibri" w:cs="Calibri"/>
                <w:bCs/>
                <w:sz w:val="20"/>
                <w:szCs w:val="20"/>
              </w:rPr>
              <w:t>;</w:t>
            </w:r>
          </w:p>
          <w:p w14:paraId="796BB8FE" w14:textId="668491C7" w:rsidR="009E14B0" w:rsidRPr="00047908" w:rsidRDefault="009E14B0" w:rsidP="00E50790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Cofre de ferro (medida </w:t>
            </w:r>
            <w:proofErr w:type="gramStart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aprox..</w:t>
            </w:r>
            <w:proofErr w:type="gramEnd"/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 xml:space="preserve"> 1,5 larg. X 60 alt. 50 cm prof - 02 unid.)</w:t>
            </w:r>
            <w:r w:rsidR="007443D3" w:rsidRPr="0004790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14:paraId="34A4DEE3" w14:textId="50046BCE" w:rsidR="009E14B0" w:rsidRPr="00047908" w:rsidRDefault="009E14B0" w:rsidP="004D6CC2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Serv.</w:t>
            </w:r>
          </w:p>
        </w:tc>
        <w:tc>
          <w:tcPr>
            <w:tcW w:w="584" w:type="dxa"/>
            <w:vAlign w:val="center"/>
          </w:tcPr>
          <w:p w14:paraId="19D3E381" w14:textId="54A88BAF" w:rsidR="009E14B0" w:rsidRPr="00047908" w:rsidRDefault="009E14B0" w:rsidP="004D6CC2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1539" w:type="dxa"/>
          </w:tcPr>
          <w:p w14:paraId="019448D0" w14:textId="77777777" w:rsidR="009E14B0" w:rsidRPr="00047908" w:rsidRDefault="009E14B0" w:rsidP="009E14B0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03490" w:rsidRPr="00047908" w14:paraId="65822C38" w14:textId="77777777" w:rsidTr="00337018">
        <w:tc>
          <w:tcPr>
            <w:tcW w:w="674" w:type="dxa"/>
            <w:vAlign w:val="center"/>
          </w:tcPr>
          <w:p w14:paraId="5AF1005A" w14:textId="7D48839A" w:rsidR="00903490" w:rsidRPr="00047908" w:rsidRDefault="007443D3" w:rsidP="00903490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5705" w:type="dxa"/>
          </w:tcPr>
          <w:p w14:paraId="4DE747D2" w14:textId="2838F656" w:rsidR="00903490" w:rsidRPr="00047908" w:rsidRDefault="00903490" w:rsidP="007443D3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Desmobilização de mobília, transporte e acondicionamento para o novo prédio locado;</w:t>
            </w:r>
          </w:p>
          <w:p w14:paraId="3CBB1736" w14:textId="4FE29711" w:rsidR="00903490" w:rsidRPr="00047908" w:rsidRDefault="00903490" w:rsidP="007443D3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Mapeamento e Identificação: Codificação de componentes (tampos, pés, gavetas) para garantir que o conjunto original possa ser recomposto futuramente sem erros.</w:t>
            </w:r>
          </w:p>
          <w:p w14:paraId="707636E0" w14:textId="48B52C14" w:rsidR="00903490" w:rsidRPr="00047908" w:rsidRDefault="00903490" w:rsidP="007443D3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Transporte e Proteção: Movimentação logística com embalagem especial para tampos de vidro e superfícies sensíveis (embalagem de proteção será fornecida pelo contratante).</w:t>
            </w:r>
          </w:p>
          <w:p w14:paraId="6AA75C27" w14:textId="2CAEDDD7" w:rsidR="00903490" w:rsidRPr="00047908" w:rsidRDefault="00903490" w:rsidP="007443D3">
            <w:pPr>
              <w:pStyle w:val="PargrafodaLista"/>
              <w:numPr>
                <w:ilvl w:val="0"/>
                <w:numId w:val="22"/>
              </w:numPr>
              <w:tabs>
                <w:tab w:val="clear" w:pos="426"/>
              </w:tabs>
              <w:ind w:left="0" w:right="0" w:firstLine="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Alocação Estratégica: Organização compacta no novo prédio em local fixo, planejada para que ocorra a menor ocupação possível, a fim de não atrapalhar as novas instalações no local</w:t>
            </w:r>
          </w:p>
        </w:tc>
        <w:tc>
          <w:tcPr>
            <w:tcW w:w="707" w:type="dxa"/>
            <w:vAlign w:val="center"/>
          </w:tcPr>
          <w:p w14:paraId="31872DBE" w14:textId="14F4BDB9" w:rsidR="00903490" w:rsidRPr="00047908" w:rsidRDefault="00903490" w:rsidP="00903490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Serv.</w:t>
            </w:r>
          </w:p>
        </w:tc>
        <w:tc>
          <w:tcPr>
            <w:tcW w:w="584" w:type="dxa"/>
            <w:vAlign w:val="center"/>
          </w:tcPr>
          <w:p w14:paraId="29F2A93E" w14:textId="0C1F0D85" w:rsidR="00903490" w:rsidRPr="00047908" w:rsidRDefault="00903490" w:rsidP="00903490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47908"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1539" w:type="dxa"/>
          </w:tcPr>
          <w:p w14:paraId="5D53737B" w14:textId="77777777" w:rsidR="00903490" w:rsidRPr="00047908" w:rsidRDefault="00903490" w:rsidP="00903490">
            <w:pPr>
              <w:spacing w:after="12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E5E0F77" w14:textId="26F94968" w:rsidR="004B5BA3" w:rsidRPr="00047908" w:rsidRDefault="004B5BA3" w:rsidP="004B5BA3">
      <w:pPr>
        <w:jc w:val="both"/>
        <w:rPr>
          <w:rFonts w:ascii="Calibri" w:eastAsiaTheme="minorHAnsi" w:hAnsi="Calibri" w:cs="Calibri"/>
          <w:sz w:val="20"/>
          <w:szCs w:val="20"/>
          <w:lang w:val="pt-BR"/>
        </w:rPr>
      </w:pPr>
      <w:r w:rsidRPr="00047908">
        <w:rPr>
          <w:rFonts w:ascii="Calibri" w:hAnsi="Calibri" w:cs="Calibri"/>
          <w:color w:val="000000" w:themeColor="text1"/>
          <w:sz w:val="24"/>
          <w:szCs w:val="24"/>
        </w:rPr>
        <w:br/>
      </w:r>
      <w:r w:rsidRPr="00047908">
        <w:rPr>
          <w:rFonts w:ascii="Calibri" w:eastAsiaTheme="minorHAnsi" w:hAnsi="Calibri" w:cs="Calibri"/>
          <w:sz w:val="20"/>
          <w:szCs w:val="20"/>
          <w:lang w:val="pt-BR"/>
        </w:rPr>
        <w:t xml:space="preserve">Prazo de validade da proposta: </w:t>
      </w:r>
      <w:r w:rsidR="007132D6" w:rsidRPr="00047908">
        <w:rPr>
          <w:rFonts w:ascii="Calibri" w:eastAsiaTheme="minorHAnsi" w:hAnsi="Calibri" w:cs="Calibri"/>
          <w:sz w:val="20"/>
          <w:szCs w:val="20"/>
          <w:lang w:val="pt-BR"/>
        </w:rPr>
        <w:t>60 dias.</w:t>
      </w:r>
    </w:p>
    <w:p w14:paraId="0D0D7EDC" w14:textId="50A1D191" w:rsidR="004B5BA3" w:rsidRPr="00047908" w:rsidRDefault="004B5BA3" w:rsidP="006E1094">
      <w:pPr>
        <w:ind w:firstLine="709"/>
        <w:jc w:val="both"/>
        <w:rPr>
          <w:rFonts w:ascii="Calibri" w:eastAsiaTheme="minorHAnsi" w:hAnsi="Calibri" w:cs="Calibri"/>
          <w:sz w:val="20"/>
          <w:szCs w:val="20"/>
          <w:lang w:val="pt-BR"/>
        </w:rPr>
      </w:pPr>
      <w:r w:rsidRPr="00047908">
        <w:rPr>
          <w:rFonts w:ascii="Calibri" w:eastAsiaTheme="minorHAnsi" w:hAnsi="Calibri" w:cs="Calibri"/>
          <w:sz w:val="20"/>
          <w:szCs w:val="20"/>
          <w:lang w:val="pt-BR"/>
        </w:rPr>
        <w:t>Declaramos que cumpriremos integralmente as especificações, garantia, condições e prazos descritos no</w:t>
      </w:r>
      <w:r w:rsidR="00C55246">
        <w:rPr>
          <w:rFonts w:ascii="Calibri" w:eastAsiaTheme="minorHAnsi" w:hAnsi="Calibri" w:cs="Calibri"/>
          <w:sz w:val="20"/>
          <w:szCs w:val="20"/>
          <w:lang w:val="pt-BR"/>
        </w:rPr>
        <w:t xml:space="preserve"> Termo de Referência</w:t>
      </w:r>
      <w:r w:rsidRPr="00047908">
        <w:rPr>
          <w:rFonts w:ascii="Calibri" w:eastAsiaTheme="minorHAnsi" w:hAnsi="Calibri" w:cs="Calibri"/>
          <w:sz w:val="20"/>
          <w:szCs w:val="20"/>
          <w:lang w:val="pt-BR"/>
        </w:rPr>
        <w:t>.</w:t>
      </w:r>
    </w:p>
    <w:p w14:paraId="7CB864EF" w14:textId="73AC2C16" w:rsidR="004B5BA3" w:rsidRDefault="004B5BA3" w:rsidP="006E1094">
      <w:pPr>
        <w:jc w:val="right"/>
        <w:rPr>
          <w:rFonts w:ascii="Calibri" w:eastAsiaTheme="minorHAnsi" w:hAnsi="Calibri" w:cs="Calibri"/>
          <w:sz w:val="24"/>
          <w:szCs w:val="24"/>
          <w:lang w:val="pt-BR"/>
        </w:rPr>
      </w:pPr>
      <w:proofErr w:type="gramStart"/>
      <w:r w:rsidRPr="00047908">
        <w:rPr>
          <w:rFonts w:ascii="Calibri" w:eastAsiaTheme="minorHAnsi" w:hAnsi="Calibri" w:cs="Calibri"/>
          <w:sz w:val="24"/>
          <w:szCs w:val="24"/>
          <w:lang w:val="pt-BR"/>
        </w:rPr>
        <w:t>Sumaré,_</w:t>
      </w:r>
      <w:proofErr w:type="gramEnd"/>
      <w:r w:rsidRPr="00047908">
        <w:rPr>
          <w:rFonts w:ascii="Calibri" w:eastAsiaTheme="minorHAnsi" w:hAnsi="Calibri" w:cs="Calibri"/>
          <w:sz w:val="24"/>
          <w:szCs w:val="24"/>
          <w:lang w:val="pt-BR"/>
        </w:rPr>
        <w:t>__de___________202</w:t>
      </w:r>
      <w:r w:rsidR="006E1094" w:rsidRPr="00047908">
        <w:rPr>
          <w:rFonts w:ascii="Calibri" w:eastAsiaTheme="minorHAnsi" w:hAnsi="Calibri" w:cs="Calibri"/>
          <w:sz w:val="24"/>
          <w:szCs w:val="24"/>
          <w:lang w:val="pt-BR"/>
        </w:rPr>
        <w:t>6</w:t>
      </w:r>
    </w:p>
    <w:p w14:paraId="62886B26" w14:textId="77777777" w:rsidR="00047908" w:rsidRPr="00047908" w:rsidRDefault="00047908" w:rsidP="006E1094">
      <w:pPr>
        <w:jc w:val="right"/>
        <w:rPr>
          <w:rFonts w:ascii="Calibri" w:eastAsiaTheme="minorHAnsi" w:hAnsi="Calibri" w:cs="Calibri"/>
          <w:sz w:val="24"/>
          <w:szCs w:val="24"/>
          <w:lang w:val="pt-BR"/>
        </w:rPr>
      </w:pPr>
    </w:p>
    <w:p w14:paraId="4905288C" w14:textId="77777777" w:rsidR="004B5BA3" w:rsidRPr="00047908" w:rsidRDefault="004B5BA3" w:rsidP="004B5BA3">
      <w:pPr>
        <w:jc w:val="center"/>
        <w:rPr>
          <w:rFonts w:ascii="Calibri" w:eastAsiaTheme="minorHAnsi" w:hAnsi="Calibri" w:cs="Calibri"/>
          <w:sz w:val="24"/>
          <w:szCs w:val="24"/>
          <w:lang w:val="pt-BR"/>
        </w:rPr>
      </w:pPr>
      <w:r w:rsidRPr="00047908">
        <w:rPr>
          <w:rFonts w:ascii="Calibri" w:eastAsiaTheme="minorHAnsi" w:hAnsi="Calibri" w:cs="Calibri"/>
          <w:sz w:val="24"/>
          <w:szCs w:val="24"/>
          <w:lang w:val="pt-BR"/>
        </w:rPr>
        <w:t>________________________________________</w:t>
      </w:r>
    </w:p>
    <w:p w14:paraId="5D007DE8" w14:textId="4FE46139" w:rsidR="002D4178" w:rsidRPr="003665E3" w:rsidRDefault="004B5BA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047908">
        <w:rPr>
          <w:rFonts w:ascii="Calibri" w:eastAsiaTheme="minorHAnsi" w:hAnsi="Calibri" w:cs="Calibri"/>
          <w:sz w:val="24"/>
          <w:szCs w:val="24"/>
          <w:lang w:val="pt-BR"/>
        </w:rPr>
        <w:t>Assinatura</w:t>
      </w:r>
      <w:r w:rsidR="00703FEA">
        <w:rPr>
          <w:rFonts w:ascii="Arial" w:hAnsi="Arial" w:cs="Arial"/>
        </w:rPr>
        <w:t xml:space="preserve"> </w:t>
      </w:r>
      <w:permEnd w:id="1261438050"/>
    </w:p>
    <w:bookmarkEnd w:id="0"/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B9C2" w14:textId="77777777" w:rsidR="00451147" w:rsidRPr="006D1E9A" w:rsidRDefault="00451147" w:rsidP="006D1E9A">
      <w:r>
        <w:separator/>
      </w:r>
    </w:p>
  </w:endnote>
  <w:endnote w:type="continuationSeparator" w:id="0">
    <w:p w14:paraId="34771546" w14:textId="77777777" w:rsidR="00451147" w:rsidRPr="006D1E9A" w:rsidRDefault="00451147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65226898"/>
  <w:bookmarkStart w:id="4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9734" w14:textId="77777777" w:rsidR="00451147" w:rsidRPr="006D1E9A" w:rsidRDefault="00451147" w:rsidP="006D1E9A">
      <w:r>
        <w:separator/>
      </w:r>
    </w:p>
  </w:footnote>
  <w:footnote w:type="continuationSeparator" w:id="0">
    <w:p w14:paraId="6781CCDB" w14:textId="77777777" w:rsidR="00451147" w:rsidRPr="006D1E9A" w:rsidRDefault="00451147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09DA"/>
    <w:multiLevelType w:val="hybridMultilevel"/>
    <w:tmpl w:val="45AA1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4" w15:restartNumberingAfterBreak="0">
    <w:nsid w:val="08351D0A"/>
    <w:multiLevelType w:val="hybridMultilevel"/>
    <w:tmpl w:val="BACA7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6F69"/>
    <w:multiLevelType w:val="hybridMultilevel"/>
    <w:tmpl w:val="711EE7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7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9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11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9" w15:restartNumberingAfterBreak="0">
    <w:nsid w:val="5EF1125E"/>
    <w:multiLevelType w:val="hybridMultilevel"/>
    <w:tmpl w:val="7AC66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4"/>
  </w:num>
  <w:num w:numId="2" w16cid:durableId="760486138">
    <w:abstractNumId w:val="16"/>
  </w:num>
  <w:num w:numId="3" w16cid:durableId="1519810346">
    <w:abstractNumId w:val="11"/>
  </w:num>
  <w:num w:numId="4" w16cid:durableId="2028098207">
    <w:abstractNumId w:val="7"/>
  </w:num>
  <w:num w:numId="5" w16cid:durableId="812405463">
    <w:abstractNumId w:val="13"/>
  </w:num>
  <w:num w:numId="6" w16cid:durableId="1465852595">
    <w:abstractNumId w:val="2"/>
  </w:num>
  <w:num w:numId="7" w16cid:durableId="1192493474">
    <w:abstractNumId w:val="18"/>
  </w:num>
  <w:num w:numId="8" w16cid:durableId="1733039190">
    <w:abstractNumId w:val="6"/>
  </w:num>
  <w:num w:numId="9" w16cid:durableId="1611931826">
    <w:abstractNumId w:val="3"/>
  </w:num>
  <w:num w:numId="10" w16cid:durableId="1486581684">
    <w:abstractNumId w:val="23"/>
  </w:num>
  <w:num w:numId="11" w16cid:durableId="394082866">
    <w:abstractNumId w:val="21"/>
  </w:num>
  <w:num w:numId="12" w16cid:durableId="32075274">
    <w:abstractNumId w:val="10"/>
  </w:num>
  <w:num w:numId="13" w16cid:durableId="129056132">
    <w:abstractNumId w:val="8"/>
  </w:num>
  <w:num w:numId="14" w16cid:durableId="1595626119">
    <w:abstractNumId w:val="15"/>
  </w:num>
  <w:num w:numId="15" w16cid:durableId="1434400985">
    <w:abstractNumId w:val="17"/>
  </w:num>
  <w:num w:numId="16" w16cid:durableId="691802371">
    <w:abstractNumId w:val="20"/>
  </w:num>
  <w:num w:numId="17" w16cid:durableId="1441337157">
    <w:abstractNumId w:val="22"/>
  </w:num>
  <w:num w:numId="18" w16cid:durableId="235289590">
    <w:abstractNumId w:val="14"/>
  </w:num>
  <w:num w:numId="19" w16cid:durableId="206837483">
    <w:abstractNumId w:val="9"/>
  </w:num>
  <w:num w:numId="20" w16cid:durableId="2010327104">
    <w:abstractNumId w:val="0"/>
  </w:num>
  <w:num w:numId="21" w16cid:durableId="377359460">
    <w:abstractNumId w:val="12"/>
  </w:num>
  <w:num w:numId="22" w16cid:durableId="1898782458">
    <w:abstractNumId w:val="4"/>
  </w:num>
  <w:num w:numId="23" w16cid:durableId="1614552662">
    <w:abstractNumId w:val="1"/>
  </w:num>
  <w:num w:numId="24" w16cid:durableId="582490601">
    <w:abstractNumId w:val="19"/>
  </w:num>
  <w:num w:numId="25" w16cid:durableId="1129126164">
    <w:abstractNumId w:val="5"/>
  </w:num>
  <w:num w:numId="26" w16cid:durableId="1122186304">
    <w:abstractNumId w:val="3"/>
  </w:num>
  <w:num w:numId="27" w16cid:durableId="1693989794">
    <w:abstractNumId w:val="3"/>
  </w:num>
  <w:num w:numId="28" w16cid:durableId="309868819">
    <w:abstractNumId w:val="3"/>
  </w:num>
  <w:num w:numId="29" w16cid:durableId="98065022">
    <w:abstractNumId w:val="3"/>
  </w:num>
  <w:num w:numId="30" w16cid:durableId="134409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47908"/>
    <w:rsid w:val="00064275"/>
    <w:rsid w:val="00064762"/>
    <w:rsid w:val="00080C2E"/>
    <w:rsid w:val="000A0265"/>
    <w:rsid w:val="000C4D10"/>
    <w:rsid w:val="000D2BDC"/>
    <w:rsid w:val="000D61D8"/>
    <w:rsid w:val="000E03AC"/>
    <w:rsid w:val="000E2AA2"/>
    <w:rsid w:val="0010177F"/>
    <w:rsid w:val="00104AAA"/>
    <w:rsid w:val="00112E45"/>
    <w:rsid w:val="00130B4C"/>
    <w:rsid w:val="001324EC"/>
    <w:rsid w:val="00144E57"/>
    <w:rsid w:val="0015657E"/>
    <w:rsid w:val="00156CF8"/>
    <w:rsid w:val="001745C2"/>
    <w:rsid w:val="00186719"/>
    <w:rsid w:val="00187EA2"/>
    <w:rsid w:val="00193A97"/>
    <w:rsid w:val="001A45BB"/>
    <w:rsid w:val="001C6193"/>
    <w:rsid w:val="00201DBD"/>
    <w:rsid w:val="00202621"/>
    <w:rsid w:val="00225DBE"/>
    <w:rsid w:val="00241712"/>
    <w:rsid w:val="00256B4B"/>
    <w:rsid w:val="0026448F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37018"/>
    <w:rsid w:val="00345781"/>
    <w:rsid w:val="00353578"/>
    <w:rsid w:val="00356A4A"/>
    <w:rsid w:val="003665E3"/>
    <w:rsid w:val="003714C6"/>
    <w:rsid w:val="003721C2"/>
    <w:rsid w:val="00387FBB"/>
    <w:rsid w:val="003A0CC2"/>
    <w:rsid w:val="003A1BDE"/>
    <w:rsid w:val="003A5DDE"/>
    <w:rsid w:val="003B53F3"/>
    <w:rsid w:val="003B5D5E"/>
    <w:rsid w:val="0040666A"/>
    <w:rsid w:val="00411A73"/>
    <w:rsid w:val="00451147"/>
    <w:rsid w:val="00460A32"/>
    <w:rsid w:val="00471D65"/>
    <w:rsid w:val="00474C93"/>
    <w:rsid w:val="004965F2"/>
    <w:rsid w:val="004A09A9"/>
    <w:rsid w:val="004B2CC9"/>
    <w:rsid w:val="004B5BA3"/>
    <w:rsid w:val="004D20E9"/>
    <w:rsid w:val="004D6CBD"/>
    <w:rsid w:val="004D6CC2"/>
    <w:rsid w:val="004E62F4"/>
    <w:rsid w:val="004F1568"/>
    <w:rsid w:val="004F45F7"/>
    <w:rsid w:val="0051286F"/>
    <w:rsid w:val="00517BF0"/>
    <w:rsid w:val="00530EBF"/>
    <w:rsid w:val="00561EAB"/>
    <w:rsid w:val="0056272A"/>
    <w:rsid w:val="00563022"/>
    <w:rsid w:val="0056799C"/>
    <w:rsid w:val="00572C80"/>
    <w:rsid w:val="00592D3A"/>
    <w:rsid w:val="005C0E26"/>
    <w:rsid w:val="005C5D9D"/>
    <w:rsid w:val="005D7245"/>
    <w:rsid w:val="005F75F6"/>
    <w:rsid w:val="00626437"/>
    <w:rsid w:val="00632FA0"/>
    <w:rsid w:val="00672493"/>
    <w:rsid w:val="00674CF2"/>
    <w:rsid w:val="00676D05"/>
    <w:rsid w:val="006B4B8C"/>
    <w:rsid w:val="006C41A4"/>
    <w:rsid w:val="006D1E9A"/>
    <w:rsid w:val="006E1094"/>
    <w:rsid w:val="006F07A0"/>
    <w:rsid w:val="00703FEA"/>
    <w:rsid w:val="007132D6"/>
    <w:rsid w:val="007312A5"/>
    <w:rsid w:val="007443D3"/>
    <w:rsid w:val="00776C60"/>
    <w:rsid w:val="00784F22"/>
    <w:rsid w:val="0079343E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A0059"/>
    <w:rsid w:val="008E1880"/>
    <w:rsid w:val="008E32B7"/>
    <w:rsid w:val="008E350B"/>
    <w:rsid w:val="00902F29"/>
    <w:rsid w:val="00903490"/>
    <w:rsid w:val="009262B1"/>
    <w:rsid w:val="009422D1"/>
    <w:rsid w:val="00956BD0"/>
    <w:rsid w:val="00961161"/>
    <w:rsid w:val="009639C6"/>
    <w:rsid w:val="00966197"/>
    <w:rsid w:val="00985DC3"/>
    <w:rsid w:val="0099245F"/>
    <w:rsid w:val="009B2A59"/>
    <w:rsid w:val="009B2EE2"/>
    <w:rsid w:val="009B420F"/>
    <w:rsid w:val="009B6BC8"/>
    <w:rsid w:val="009E14B0"/>
    <w:rsid w:val="009F4334"/>
    <w:rsid w:val="00A01B8E"/>
    <w:rsid w:val="00A06234"/>
    <w:rsid w:val="00A06CF2"/>
    <w:rsid w:val="00A12913"/>
    <w:rsid w:val="00A169E2"/>
    <w:rsid w:val="00A242DF"/>
    <w:rsid w:val="00A67788"/>
    <w:rsid w:val="00A82D06"/>
    <w:rsid w:val="00A931CB"/>
    <w:rsid w:val="00AA44A5"/>
    <w:rsid w:val="00AF4E98"/>
    <w:rsid w:val="00B040B8"/>
    <w:rsid w:val="00B07321"/>
    <w:rsid w:val="00B32489"/>
    <w:rsid w:val="00B50D75"/>
    <w:rsid w:val="00B52363"/>
    <w:rsid w:val="00B5647E"/>
    <w:rsid w:val="00B746C3"/>
    <w:rsid w:val="00BC2E54"/>
    <w:rsid w:val="00BC507C"/>
    <w:rsid w:val="00BC67AB"/>
    <w:rsid w:val="00BE2367"/>
    <w:rsid w:val="00BE33FF"/>
    <w:rsid w:val="00BF1B63"/>
    <w:rsid w:val="00C00C1E"/>
    <w:rsid w:val="00C02D1D"/>
    <w:rsid w:val="00C03961"/>
    <w:rsid w:val="00C36776"/>
    <w:rsid w:val="00C45AE5"/>
    <w:rsid w:val="00C55246"/>
    <w:rsid w:val="00C674E3"/>
    <w:rsid w:val="00C9021F"/>
    <w:rsid w:val="00CB1A81"/>
    <w:rsid w:val="00CB2062"/>
    <w:rsid w:val="00CD6B58"/>
    <w:rsid w:val="00CF401E"/>
    <w:rsid w:val="00D014F5"/>
    <w:rsid w:val="00D0267F"/>
    <w:rsid w:val="00D100FC"/>
    <w:rsid w:val="00D41A2F"/>
    <w:rsid w:val="00D420E9"/>
    <w:rsid w:val="00D668CA"/>
    <w:rsid w:val="00D67110"/>
    <w:rsid w:val="00D74AA2"/>
    <w:rsid w:val="00D816A6"/>
    <w:rsid w:val="00D907D7"/>
    <w:rsid w:val="00D91AD9"/>
    <w:rsid w:val="00D925AA"/>
    <w:rsid w:val="00DA46D4"/>
    <w:rsid w:val="00DC13D5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324B4"/>
    <w:rsid w:val="00E45CBE"/>
    <w:rsid w:val="00E50790"/>
    <w:rsid w:val="00E52AF1"/>
    <w:rsid w:val="00E73F52"/>
    <w:rsid w:val="00EB5790"/>
    <w:rsid w:val="00EB71F4"/>
    <w:rsid w:val="00EC6050"/>
    <w:rsid w:val="00ED0506"/>
    <w:rsid w:val="00ED3C98"/>
    <w:rsid w:val="00EE5FE3"/>
    <w:rsid w:val="00F20685"/>
    <w:rsid w:val="00F54416"/>
    <w:rsid w:val="00F56E55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937</Words>
  <Characters>5064</Characters>
  <Application>Microsoft Office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14</cp:revision>
  <cp:lastPrinted>2026-05-18T14:33:00Z</cp:lastPrinted>
  <dcterms:created xsi:type="dcterms:W3CDTF">2026-05-07T14:59:00Z</dcterms:created>
  <dcterms:modified xsi:type="dcterms:W3CDTF">2026-05-19T18:30:00Z</dcterms:modified>
</cp:coreProperties>
</file>