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8588" w14:textId="2619DA85" w:rsidR="005366B4" w:rsidRPr="00823F50" w:rsidRDefault="00E0389D" w:rsidP="00700258">
      <w:pPr>
        <w:spacing w:after="0" w:line="360" w:lineRule="auto"/>
        <w:jc w:val="right"/>
        <w:rPr>
          <w:rFonts w:ascii="Arial" w:hAnsi="Arial" w:cs="Arial"/>
          <w:b/>
          <w:color w:val="171717" w:themeColor="background2" w:themeShade="1A"/>
          <w:sz w:val="30"/>
          <w:szCs w:val="30"/>
        </w:rPr>
      </w:pPr>
      <w:r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>P</w:t>
      </w:r>
      <w:r w:rsidR="00444089"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rocesso </w:t>
      </w:r>
      <w:r w:rsidR="005366B4"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>A</w:t>
      </w:r>
      <w:r w:rsidR="00444089"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>dministrativo</w:t>
      </w:r>
      <w:r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 nº</w:t>
      </w:r>
      <w:r w:rsidR="006C5A47"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 </w:t>
      </w:r>
      <w:r w:rsidR="00526342"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>332</w:t>
      </w:r>
      <w:r w:rsidR="0086266F"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>/20</w:t>
      </w:r>
      <w:r w:rsidR="00077FF6"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>2</w:t>
      </w:r>
      <w:r w:rsidR="00595F9C" w:rsidRPr="00823F50">
        <w:rPr>
          <w:rFonts w:ascii="Arial" w:hAnsi="Arial" w:cs="Arial"/>
          <w:b/>
          <w:color w:val="171717" w:themeColor="background2" w:themeShade="1A"/>
          <w:sz w:val="30"/>
          <w:szCs w:val="30"/>
        </w:rPr>
        <w:t>5</w:t>
      </w:r>
    </w:p>
    <w:p w14:paraId="3C517697" w14:textId="77777777" w:rsidR="003A7C42" w:rsidRPr="00E33B2F" w:rsidRDefault="003A7C42" w:rsidP="00700258">
      <w:pPr>
        <w:spacing w:after="0" w:line="360" w:lineRule="auto"/>
        <w:jc w:val="right"/>
        <w:rPr>
          <w:rFonts w:ascii="Arial" w:hAnsi="Arial" w:cs="Arial"/>
          <w:b/>
          <w:color w:val="171717" w:themeColor="background2" w:themeShade="1A"/>
          <w:sz w:val="24"/>
          <w:szCs w:val="24"/>
        </w:rPr>
      </w:pPr>
    </w:p>
    <w:p w14:paraId="1C3F63F0" w14:textId="421ACFB4" w:rsidR="005366B4" w:rsidRPr="00E33B2F" w:rsidRDefault="00C760E6" w:rsidP="00700258">
      <w:pPr>
        <w:spacing w:after="0" w:line="360" w:lineRule="auto"/>
        <w:jc w:val="both"/>
        <w:rPr>
          <w:rFonts w:ascii="Arial" w:hAnsi="Arial" w:cs="Arial"/>
          <w:b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b/>
          <w:color w:val="171717" w:themeColor="background2" w:themeShade="1A"/>
          <w:sz w:val="24"/>
          <w:szCs w:val="24"/>
        </w:rPr>
        <w:t>Ao</w:t>
      </w:r>
      <w:r w:rsidR="005366B4" w:rsidRPr="00E33B2F">
        <w:rPr>
          <w:rFonts w:ascii="Arial" w:hAnsi="Arial" w:cs="Arial"/>
          <w:b/>
          <w:color w:val="171717" w:themeColor="background2" w:themeShade="1A"/>
          <w:sz w:val="24"/>
          <w:szCs w:val="24"/>
        </w:rPr>
        <w:t xml:space="preserve"> </w:t>
      </w:r>
    </w:p>
    <w:p w14:paraId="46E9A2F0" w14:textId="3ECE0AE4" w:rsidR="005366B4" w:rsidRPr="00E33B2F" w:rsidRDefault="00C760E6" w:rsidP="00C760E6">
      <w:pPr>
        <w:spacing w:after="0" w:line="360" w:lineRule="auto"/>
        <w:ind w:right="-568"/>
        <w:jc w:val="both"/>
        <w:rPr>
          <w:rFonts w:ascii="Arial" w:hAnsi="Arial" w:cs="Arial"/>
          <w:b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b/>
          <w:color w:val="171717" w:themeColor="background2" w:themeShade="1A"/>
          <w:sz w:val="24"/>
          <w:szCs w:val="24"/>
        </w:rPr>
        <w:t>Gestor de Planejamento Estratégico de Governança e Processo</w:t>
      </w:r>
      <w:r w:rsidR="005366B4" w:rsidRPr="00E33B2F">
        <w:rPr>
          <w:rFonts w:ascii="Arial" w:hAnsi="Arial" w:cs="Arial"/>
          <w:b/>
          <w:color w:val="171717" w:themeColor="background2" w:themeShade="1A"/>
          <w:sz w:val="24"/>
          <w:szCs w:val="24"/>
        </w:rPr>
        <w:t>s</w:t>
      </w:r>
      <w:r>
        <w:rPr>
          <w:rFonts w:ascii="Arial" w:hAnsi="Arial" w:cs="Arial"/>
          <w:b/>
          <w:color w:val="171717" w:themeColor="background2" w:themeShade="1A"/>
          <w:sz w:val="24"/>
          <w:szCs w:val="24"/>
        </w:rPr>
        <w:t xml:space="preserve"> Operacionais</w:t>
      </w:r>
    </w:p>
    <w:p w14:paraId="0C1CA63C" w14:textId="77777777" w:rsidR="005366B4" w:rsidRPr="00E33B2F" w:rsidRDefault="005366B4" w:rsidP="00700258">
      <w:pPr>
        <w:spacing w:after="0" w:line="360" w:lineRule="auto"/>
        <w:jc w:val="both"/>
        <w:rPr>
          <w:rFonts w:ascii="Arial" w:hAnsi="Arial" w:cs="Arial"/>
          <w:color w:val="171717" w:themeColor="background2" w:themeShade="1A"/>
          <w:sz w:val="24"/>
          <w:szCs w:val="24"/>
        </w:rPr>
      </w:pPr>
    </w:p>
    <w:p w14:paraId="2B02A48E" w14:textId="77F8A1AC" w:rsidR="00771795" w:rsidRDefault="005366B4" w:rsidP="003A7C42">
      <w:pPr>
        <w:spacing w:after="0" w:line="360" w:lineRule="auto"/>
        <w:ind w:firstLine="708"/>
        <w:jc w:val="both"/>
        <w:rPr>
          <w:rFonts w:ascii="Arial" w:hAnsi="Arial" w:cs="Arial"/>
          <w:color w:val="171717" w:themeColor="background2" w:themeShade="1A"/>
          <w:sz w:val="24"/>
          <w:szCs w:val="24"/>
        </w:rPr>
      </w:pP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 xml:space="preserve">Autorizo </w:t>
      </w:r>
      <w:r w:rsidR="00C760E6">
        <w:rPr>
          <w:rFonts w:ascii="Arial" w:hAnsi="Arial" w:cs="Arial"/>
          <w:color w:val="171717" w:themeColor="background2" w:themeShade="1A"/>
          <w:sz w:val="24"/>
          <w:szCs w:val="24"/>
        </w:rPr>
        <w:t xml:space="preserve">a </w:t>
      </w:r>
      <w:r w:rsidR="00DC2A26">
        <w:rPr>
          <w:rFonts w:ascii="Arial" w:hAnsi="Arial" w:cs="Arial"/>
          <w:color w:val="171717" w:themeColor="background2" w:themeShade="1A"/>
          <w:sz w:val="24"/>
          <w:szCs w:val="24"/>
        </w:rPr>
        <w:t xml:space="preserve">locação do imóvel localizado na </w:t>
      </w:r>
      <w:r w:rsidR="00DC2A26" w:rsidRPr="008B689B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Rua Antônio de Carvalho, número 44 – Centro – Sumaré/SP </w:t>
      </w:r>
      <w:r w:rsidR="00B71D21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 xml:space="preserve">- </w:t>
      </w:r>
      <w:r w:rsidR="00DC2A26" w:rsidRPr="008B689B">
        <w:rPr>
          <w:rFonts w:ascii="Arial" w:hAnsi="Arial" w:cs="Arial"/>
          <w:b/>
          <w:bCs/>
          <w:color w:val="171717" w:themeColor="background2" w:themeShade="1A"/>
          <w:sz w:val="24"/>
          <w:szCs w:val="24"/>
        </w:rPr>
        <w:t>CEP 13170-032</w:t>
      </w:r>
      <w:r w:rsidR="00DC2A26">
        <w:rPr>
          <w:rFonts w:ascii="Arial" w:hAnsi="Arial" w:cs="Arial"/>
          <w:color w:val="171717" w:themeColor="background2" w:themeShade="1A"/>
          <w:sz w:val="24"/>
          <w:szCs w:val="24"/>
        </w:rPr>
        <w:t xml:space="preserve"> com base no </w:t>
      </w:r>
      <w:r w:rsidR="008B689B">
        <w:rPr>
          <w:rFonts w:ascii="Arial" w:hAnsi="Arial" w:cs="Arial"/>
          <w:color w:val="171717" w:themeColor="background2" w:themeShade="1A"/>
          <w:sz w:val="24"/>
          <w:szCs w:val="24"/>
        </w:rPr>
        <w:t>artigo 74 inciso V da Lei 14.133/2021</w:t>
      </w:r>
      <w:r w:rsidR="00C760E6">
        <w:rPr>
          <w:rFonts w:ascii="Arial" w:hAnsi="Arial" w:cs="Arial"/>
          <w:color w:val="171717" w:themeColor="background2" w:themeShade="1A"/>
          <w:sz w:val="24"/>
          <w:szCs w:val="24"/>
        </w:rPr>
        <w:t>,</w:t>
      </w:r>
      <w:r w:rsidR="00771795">
        <w:rPr>
          <w:rFonts w:ascii="Arial" w:hAnsi="Arial" w:cs="Arial"/>
          <w:color w:val="171717" w:themeColor="background2" w:themeShade="1A"/>
          <w:sz w:val="24"/>
          <w:szCs w:val="24"/>
        </w:rPr>
        <w:t xml:space="preserve"> </w:t>
      </w:r>
      <w:r w:rsidR="008B689B">
        <w:rPr>
          <w:rFonts w:ascii="Arial" w:hAnsi="Arial" w:cs="Arial"/>
          <w:color w:val="171717" w:themeColor="background2" w:themeShade="1A"/>
          <w:sz w:val="24"/>
          <w:szCs w:val="24"/>
        </w:rPr>
        <w:t xml:space="preserve">no </w:t>
      </w:r>
      <w:r w:rsidR="008B689B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 xml:space="preserve">valor mensal </w:t>
      </w:r>
      <w:r w:rsidR="00771795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 xml:space="preserve">total </w:t>
      </w:r>
      <w:r w:rsidR="008B689B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>de</w:t>
      </w:r>
      <w:r w:rsidR="00771795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 xml:space="preserve"> R$ </w:t>
      </w:r>
      <w:r w:rsidR="00595F9C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>3</w:t>
      </w:r>
      <w:r w:rsidR="008B689B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>5</w:t>
      </w:r>
      <w:r w:rsidR="00771795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>.</w:t>
      </w:r>
      <w:r w:rsidR="008B689B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>0</w:t>
      </w:r>
      <w:r w:rsidR="00771795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>00,</w:t>
      </w:r>
      <w:r w:rsidR="00595F9C" w:rsidRPr="00823F50">
        <w:rPr>
          <w:rFonts w:ascii="Arial" w:hAnsi="Arial" w:cs="Arial"/>
          <w:i/>
          <w:iCs/>
          <w:color w:val="171717" w:themeColor="background2" w:themeShade="1A"/>
          <w:sz w:val="24"/>
          <w:szCs w:val="24"/>
          <w:u w:val="single"/>
        </w:rPr>
        <w:t>00</w:t>
      </w:r>
      <w:r w:rsidR="00771795">
        <w:rPr>
          <w:rFonts w:ascii="Arial" w:hAnsi="Arial" w:cs="Arial"/>
          <w:color w:val="171717" w:themeColor="background2" w:themeShade="1A"/>
          <w:sz w:val="24"/>
          <w:szCs w:val="24"/>
        </w:rPr>
        <w:t xml:space="preserve"> (</w:t>
      </w:r>
      <w:r w:rsidR="008B689B">
        <w:rPr>
          <w:rFonts w:ascii="Arial" w:hAnsi="Arial" w:cs="Arial"/>
          <w:color w:val="171717" w:themeColor="background2" w:themeShade="1A"/>
          <w:sz w:val="24"/>
          <w:szCs w:val="24"/>
        </w:rPr>
        <w:t xml:space="preserve">trinta e cinco mil reais) ou anual de R$ </w:t>
      </w:r>
      <w:r w:rsidR="00615993">
        <w:rPr>
          <w:rFonts w:ascii="Arial" w:hAnsi="Arial" w:cs="Arial"/>
          <w:color w:val="171717" w:themeColor="background2" w:themeShade="1A"/>
          <w:sz w:val="24"/>
          <w:szCs w:val="24"/>
        </w:rPr>
        <w:t>420.000,00 (Quatrocentos e vinte mil reais).</w:t>
      </w:r>
    </w:p>
    <w:p w14:paraId="4E536152" w14:textId="77777777" w:rsidR="00615993" w:rsidRDefault="00615993" w:rsidP="00DC2A26">
      <w:pPr>
        <w:keepNext/>
        <w:suppressLineNumbers/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color w:val="171717" w:themeColor="background2" w:themeShade="1A"/>
          <w:sz w:val="24"/>
          <w:szCs w:val="24"/>
          <w:u w:val="single"/>
        </w:rPr>
      </w:pPr>
    </w:p>
    <w:p w14:paraId="7EBD0875" w14:textId="7FFAA9DC" w:rsidR="00DC2A26" w:rsidRPr="00E33B2F" w:rsidRDefault="00DC2A26" w:rsidP="00DC2A26">
      <w:pPr>
        <w:keepNext/>
        <w:suppressLineNumbers/>
        <w:spacing w:after="0" w:line="360" w:lineRule="auto"/>
        <w:ind w:firstLine="708"/>
        <w:jc w:val="both"/>
        <w:rPr>
          <w:rFonts w:ascii="Arial" w:hAnsi="Arial" w:cs="Arial"/>
          <w:color w:val="171717" w:themeColor="background2" w:themeShade="1A"/>
          <w:sz w:val="24"/>
          <w:szCs w:val="24"/>
        </w:rPr>
      </w:pPr>
      <w:r w:rsidRPr="005344C9">
        <w:rPr>
          <w:rFonts w:ascii="Arial" w:hAnsi="Arial" w:cs="Arial"/>
          <w:b/>
          <w:bCs/>
          <w:i/>
          <w:iCs/>
          <w:color w:val="171717" w:themeColor="background2" w:themeShade="1A"/>
          <w:sz w:val="24"/>
          <w:szCs w:val="24"/>
          <w:u w:val="single"/>
        </w:rPr>
        <w:t>Encaminhe-se para a Procuradoria Jurídica</w:t>
      </w:r>
      <w:r>
        <w:rPr>
          <w:rFonts w:ascii="Arial" w:hAnsi="Arial" w:cs="Arial"/>
          <w:color w:val="171717" w:themeColor="background2" w:themeShade="1A"/>
          <w:sz w:val="24"/>
          <w:szCs w:val="24"/>
        </w:rPr>
        <w:t xml:space="preserve"> para </w:t>
      </w: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>a emissão de parecer</w:t>
      </w:r>
      <w:r>
        <w:rPr>
          <w:rFonts w:ascii="Arial" w:hAnsi="Arial" w:cs="Arial"/>
          <w:color w:val="171717" w:themeColor="background2" w:themeShade="1A"/>
          <w:sz w:val="24"/>
          <w:szCs w:val="24"/>
        </w:rPr>
        <w:t xml:space="preserve"> jurídico</w:t>
      </w: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 xml:space="preserve"> nos termos do artigo </w:t>
      </w:r>
      <w:r>
        <w:rPr>
          <w:rFonts w:ascii="Arial" w:hAnsi="Arial" w:cs="Arial"/>
          <w:color w:val="171717" w:themeColor="background2" w:themeShade="1A"/>
          <w:sz w:val="24"/>
          <w:szCs w:val="24"/>
        </w:rPr>
        <w:t>53</w:t>
      </w: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 xml:space="preserve"> da Lei n° </w:t>
      </w:r>
      <w:r>
        <w:rPr>
          <w:rFonts w:ascii="Arial" w:hAnsi="Arial" w:cs="Arial"/>
          <w:color w:val="171717" w:themeColor="background2" w:themeShade="1A"/>
          <w:sz w:val="24"/>
          <w:szCs w:val="24"/>
        </w:rPr>
        <w:t>14</w:t>
      </w: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>.</w:t>
      </w:r>
      <w:r>
        <w:rPr>
          <w:rFonts w:ascii="Arial" w:hAnsi="Arial" w:cs="Arial"/>
          <w:color w:val="171717" w:themeColor="background2" w:themeShade="1A"/>
          <w:sz w:val="24"/>
          <w:szCs w:val="24"/>
        </w:rPr>
        <w:t>133</w:t>
      </w: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>/</w:t>
      </w:r>
      <w:r>
        <w:rPr>
          <w:rFonts w:ascii="Arial" w:hAnsi="Arial" w:cs="Arial"/>
          <w:color w:val="171717" w:themeColor="background2" w:themeShade="1A"/>
          <w:sz w:val="24"/>
          <w:szCs w:val="24"/>
        </w:rPr>
        <w:t>2021</w:t>
      </w: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>.</w:t>
      </w:r>
    </w:p>
    <w:p w14:paraId="68E71115" w14:textId="77777777" w:rsidR="00E264CE" w:rsidRDefault="00E264CE" w:rsidP="003A7C42">
      <w:pPr>
        <w:spacing w:after="0" w:line="360" w:lineRule="auto"/>
        <w:ind w:firstLine="708"/>
        <w:jc w:val="both"/>
        <w:rPr>
          <w:rFonts w:ascii="Arial" w:hAnsi="Arial" w:cs="Arial"/>
          <w:color w:val="171717" w:themeColor="background2" w:themeShade="1A"/>
          <w:sz w:val="24"/>
          <w:szCs w:val="24"/>
        </w:rPr>
      </w:pPr>
    </w:p>
    <w:p w14:paraId="12CD1B40" w14:textId="4F5AC93D" w:rsidR="00B6406D" w:rsidRDefault="00E264CE" w:rsidP="003A7C42">
      <w:pPr>
        <w:spacing w:after="0" w:line="360" w:lineRule="auto"/>
        <w:ind w:firstLine="708"/>
        <w:jc w:val="both"/>
        <w:rPr>
          <w:rFonts w:ascii="Arial" w:hAnsi="Arial" w:cs="Arial"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color w:val="171717" w:themeColor="background2" w:themeShade="1A"/>
          <w:sz w:val="24"/>
          <w:szCs w:val="24"/>
        </w:rPr>
        <w:t>Segue para providências.</w:t>
      </w:r>
    </w:p>
    <w:p w14:paraId="7922AB51" w14:textId="77777777" w:rsidR="00E264CE" w:rsidRDefault="00E264CE" w:rsidP="003A7C42">
      <w:pPr>
        <w:spacing w:after="0" w:line="360" w:lineRule="auto"/>
        <w:ind w:firstLine="708"/>
        <w:jc w:val="both"/>
        <w:rPr>
          <w:rFonts w:ascii="Arial" w:hAnsi="Arial" w:cs="Arial"/>
          <w:color w:val="171717" w:themeColor="background2" w:themeShade="1A"/>
          <w:sz w:val="24"/>
          <w:szCs w:val="24"/>
        </w:rPr>
      </w:pPr>
    </w:p>
    <w:p w14:paraId="79C393FC" w14:textId="0387505D" w:rsidR="00E264CE" w:rsidRDefault="00E264CE" w:rsidP="003A7C42">
      <w:pPr>
        <w:spacing w:after="0" w:line="360" w:lineRule="auto"/>
        <w:ind w:firstLine="708"/>
        <w:jc w:val="both"/>
        <w:rPr>
          <w:rFonts w:ascii="Arial" w:hAnsi="Arial" w:cs="Arial"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color w:val="171717" w:themeColor="background2" w:themeShade="1A"/>
          <w:sz w:val="24"/>
          <w:szCs w:val="24"/>
        </w:rPr>
        <w:t>Respeitosamente,</w:t>
      </w:r>
    </w:p>
    <w:p w14:paraId="1C8FAFDF" w14:textId="77777777" w:rsidR="00E264CE" w:rsidRDefault="00E264CE" w:rsidP="003A7C42">
      <w:pPr>
        <w:spacing w:after="0" w:line="360" w:lineRule="auto"/>
        <w:ind w:firstLine="708"/>
        <w:jc w:val="both"/>
        <w:rPr>
          <w:rFonts w:ascii="Arial" w:hAnsi="Arial" w:cs="Arial"/>
          <w:color w:val="171717" w:themeColor="background2" w:themeShade="1A"/>
          <w:sz w:val="24"/>
          <w:szCs w:val="24"/>
        </w:rPr>
      </w:pPr>
    </w:p>
    <w:p w14:paraId="7540EB11" w14:textId="77777777" w:rsidR="00E264CE" w:rsidRPr="00E33B2F" w:rsidRDefault="00E264CE" w:rsidP="003A7C42">
      <w:pPr>
        <w:spacing w:after="0" w:line="360" w:lineRule="auto"/>
        <w:ind w:firstLine="708"/>
        <w:jc w:val="both"/>
        <w:rPr>
          <w:rFonts w:ascii="Arial" w:hAnsi="Arial" w:cs="Arial"/>
          <w:color w:val="171717" w:themeColor="background2" w:themeShade="1A"/>
          <w:sz w:val="24"/>
          <w:szCs w:val="24"/>
        </w:rPr>
      </w:pPr>
    </w:p>
    <w:p w14:paraId="4F0B41FD" w14:textId="65B85ACD" w:rsidR="007925F0" w:rsidRPr="00E33B2F" w:rsidRDefault="007925F0" w:rsidP="00700258">
      <w:pPr>
        <w:keepNext/>
        <w:suppressLineNumbers/>
        <w:spacing w:after="0" w:line="360" w:lineRule="auto"/>
        <w:jc w:val="center"/>
        <w:rPr>
          <w:rFonts w:ascii="Arial" w:hAnsi="Arial" w:cs="Arial"/>
          <w:color w:val="171717" w:themeColor="background2" w:themeShade="1A"/>
          <w:sz w:val="24"/>
          <w:szCs w:val="24"/>
        </w:rPr>
      </w:pP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 xml:space="preserve">Sumaré, </w:t>
      </w:r>
      <w:r w:rsidR="008B689B">
        <w:rPr>
          <w:rFonts w:ascii="Arial" w:hAnsi="Arial" w:cs="Arial"/>
          <w:color w:val="171717" w:themeColor="background2" w:themeShade="1A"/>
          <w:sz w:val="24"/>
          <w:szCs w:val="24"/>
        </w:rPr>
        <w:t>2</w:t>
      </w:r>
      <w:r w:rsidR="00B71D21">
        <w:rPr>
          <w:rFonts w:ascii="Arial" w:hAnsi="Arial" w:cs="Arial"/>
          <w:color w:val="171717" w:themeColor="background2" w:themeShade="1A"/>
          <w:sz w:val="24"/>
          <w:szCs w:val="24"/>
        </w:rPr>
        <w:t>5</w:t>
      </w:r>
      <w:r w:rsidR="003C4547">
        <w:rPr>
          <w:rFonts w:ascii="Arial" w:hAnsi="Arial" w:cs="Arial"/>
          <w:color w:val="171717" w:themeColor="background2" w:themeShade="1A"/>
          <w:sz w:val="24"/>
          <w:szCs w:val="24"/>
        </w:rPr>
        <w:t xml:space="preserve"> </w:t>
      </w: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 xml:space="preserve">de </w:t>
      </w:r>
      <w:r w:rsidR="00823F50">
        <w:rPr>
          <w:rFonts w:ascii="Arial" w:hAnsi="Arial" w:cs="Arial"/>
          <w:color w:val="171717" w:themeColor="background2" w:themeShade="1A"/>
          <w:sz w:val="24"/>
          <w:szCs w:val="24"/>
        </w:rPr>
        <w:t>setembro</w:t>
      </w:r>
      <w:r w:rsidR="00526342">
        <w:rPr>
          <w:rFonts w:ascii="Arial" w:hAnsi="Arial" w:cs="Arial"/>
          <w:color w:val="171717" w:themeColor="background2" w:themeShade="1A"/>
          <w:sz w:val="24"/>
          <w:szCs w:val="24"/>
        </w:rPr>
        <w:t xml:space="preserve"> </w:t>
      </w: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>de 20</w:t>
      </w:r>
      <w:r w:rsidR="007A4BF7">
        <w:rPr>
          <w:rFonts w:ascii="Arial" w:hAnsi="Arial" w:cs="Arial"/>
          <w:color w:val="171717" w:themeColor="background2" w:themeShade="1A"/>
          <w:sz w:val="24"/>
          <w:szCs w:val="24"/>
        </w:rPr>
        <w:t>2</w:t>
      </w:r>
      <w:r w:rsidR="00595F9C">
        <w:rPr>
          <w:rFonts w:ascii="Arial" w:hAnsi="Arial" w:cs="Arial"/>
          <w:color w:val="171717" w:themeColor="background2" w:themeShade="1A"/>
          <w:sz w:val="24"/>
          <w:szCs w:val="24"/>
        </w:rPr>
        <w:t>5</w:t>
      </w: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>.</w:t>
      </w:r>
    </w:p>
    <w:p w14:paraId="7DEF6CA9" w14:textId="0E4B84CE" w:rsidR="007925F0" w:rsidRDefault="007925F0" w:rsidP="00700258">
      <w:pPr>
        <w:spacing w:after="0" w:line="360" w:lineRule="auto"/>
        <w:rPr>
          <w:rFonts w:ascii="Arial" w:hAnsi="Arial" w:cs="Arial"/>
          <w:color w:val="171717" w:themeColor="background2" w:themeShade="1A"/>
          <w:sz w:val="24"/>
          <w:szCs w:val="24"/>
        </w:rPr>
      </w:pP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 xml:space="preserve"> </w:t>
      </w:r>
    </w:p>
    <w:p w14:paraId="3B9FD4BA" w14:textId="77777777" w:rsidR="0049690F" w:rsidRDefault="0049690F" w:rsidP="00700258">
      <w:pPr>
        <w:spacing w:after="0" w:line="360" w:lineRule="auto"/>
        <w:rPr>
          <w:rFonts w:ascii="Arial" w:hAnsi="Arial" w:cs="Arial"/>
          <w:color w:val="171717" w:themeColor="background2" w:themeShade="1A"/>
          <w:sz w:val="24"/>
          <w:szCs w:val="24"/>
        </w:rPr>
      </w:pPr>
    </w:p>
    <w:p w14:paraId="00175A0E" w14:textId="77777777" w:rsidR="0049690F" w:rsidRPr="00E33B2F" w:rsidRDefault="0049690F" w:rsidP="00700258">
      <w:pPr>
        <w:spacing w:after="0" w:line="360" w:lineRule="auto"/>
        <w:rPr>
          <w:rFonts w:ascii="Arial" w:hAnsi="Arial" w:cs="Arial"/>
          <w:color w:val="171717" w:themeColor="background2" w:themeShade="1A"/>
          <w:sz w:val="24"/>
          <w:szCs w:val="24"/>
        </w:rPr>
      </w:pPr>
    </w:p>
    <w:p w14:paraId="5E310850" w14:textId="77777777" w:rsidR="007925F0" w:rsidRPr="00E33B2F" w:rsidRDefault="007925F0" w:rsidP="00700258">
      <w:pPr>
        <w:spacing w:after="0" w:line="360" w:lineRule="auto"/>
        <w:rPr>
          <w:rFonts w:ascii="Arial" w:hAnsi="Arial" w:cs="Arial"/>
          <w:color w:val="171717" w:themeColor="background2" w:themeShade="1A"/>
          <w:sz w:val="24"/>
          <w:szCs w:val="24"/>
        </w:rPr>
      </w:pPr>
    </w:p>
    <w:p w14:paraId="1A18CF77" w14:textId="77777777" w:rsidR="007925F0" w:rsidRPr="00E33B2F" w:rsidRDefault="007925F0" w:rsidP="00700258">
      <w:pPr>
        <w:spacing w:after="0" w:line="360" w:lineRule="auto"/>
        <w:jc w:val="center"/>
        <w:rPr>
          <w:rFonts w:ascii="Arial" w:eastAsia="MS Mincho" w:hAnsi="Arial" w:cs="Arial"/>
          <w:color w:val="171717" w:themeColor="background2" w:themeShade="1A"/>
          <w:sz w:val="24"/>
          <w:szCs w:val="24"/>
        </w:rPr>
      </w:pPr>
      <w:r w:rsidRPr="00E33B2F">
        <w:rPr>
          <w:rFonts w:ascii="Arial" w:hAnsi="Arial" w:cs="Arial"/>
          <w:color w:val="171717" w:themeColor="background2" w:themeShade="1A"/>
          <w:sz w:val="24"/>
          <w:szCs w:val="24"/>
        </w:rPr>
        <w:t>___________________________</w:t>
      </w:r>
    </w:p>
    <w:p w14:paraId="44DBB902" w14:textId="63D81701" w:rsidR="007925F0" w:rsidRPr="00E33B2F" w:rsidRDefault="00FC57E1" w:rsidP="00700258">
      <w:pPr>
        <w:spacing w:after="0" w:line="360" w:lineRule="auto"/>
        <w:jc w:val="center"/>
        <w:rPr>
          <w:rFonts w:ascii="Arial" w:hAnsi="Arial" w:cs="Arial"/>
          <w:b/>
          <w:color w:val="171717" w:themeColor="background2" w:themeShade="1A"/>
          <w:sz w:val="24"/>
          <w:szCs w:val="24"/>
        </w:rPr>
      </w:pPr>
      <w:r>
        <w:rPr>
          <w:rFonts w:ascii="Arial" w:hAnsi="Arial" w:cs="Arial"/>
          <w:b/>
          <w:color w:val="171717" w:themeColor="background2" w:themeShade="1A"/>
          <w:sz w:val="24"/>
          <w:szCs w:val="24"/>
        </w:rPr>
        <w:t>HÉLIO PEREIRA DA SILVA</w:t>
      </w:r>
    </w:p>
    <w:p w14:paraId="5FE9675C" w14:textId="552A83B8" w:rsidR="00980FAD" w:rsidRDefault="007925F0" w:rsidP="00B6406D">
      <w:pPr>
        <w:spacing w:after="0" w:line="360" w:lineRule="auto"/>
        <w:jc w:val="center"/>
        <w:rPr>
          <w:rFonts w:ascii="Arial" w:hAnsi="Arial" w:cs="Arial"/>
          <w:color w:val="000068"/>
          <w:sz w:val="24"/>
          <w:szCs w:val="24"/>
        </w:rPr>
      </w:pPr>
      <w:r w:rsidRPr="00E33B2F">
        <w:rPr>
          <w:rFonts w:ascii="Arial" w:hAnsi="Arial" w:cs="Arial"/>
          <w:b/>
          <w:color w:val="171717" w:themeColor="background2" w:themeShade="1A"/>
          <w:sz w:val="24"/>
          <w:szCs w:val="24"/>
        </w:rPr>
        <w:t>Presidente</w:t>
      </w:r>
      <w:r w:rsidR="003C4547">
        <w:rPr>
          <w:rFonts w:ascii="Arial" w:hAnsi="Arial" w:cs="Arial"/>
          <w:b/>
          <w:color w:val="171717" w:themeColor="background2" w:themeShade="1A"/>
          <w:sz w:val="24"/>
          <w:szCs w:val="24"/>
        </w:rPr>
        <w:t xml:space="preserve"> da Câmara Municipal de Sumaré</w:t>
      </w:r>
    </w:p>
    <w:p w14:paraId="182F1D06" w14:textId="633E5DDF" w:rsidR="00980FAD" w:rsidRDefault="00980FAD" w:rsidP="00593CA1">
      <w:pPr>
        <w:jc w:val="both"/>
        <w:rPr>
          <w:rFonts w:ascii="Arial" w:hAnsi="Arial" w:cs="Arial"/>
          <w:color w:val="000068"/>
          <w:sz w:val="24"/>
          <w:szCs w:val="24"/>
        </w:rPr>
      </w:pPr>
    </w:p>
    <w:sectPr w:rsidR="00980F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1D79" w14:textId="77777777" w:rsidR="00761F62" w:rsidRDefault="00761F62" w:rsidP="005366B4">
      <w:pPr>
        <w:spacing w:after="0" w:line="240" w:lineRule="auto"/>
      </w:pPr>
      <w:r>
        <w:separator/>
      </w:r>
    </w:p>
  </w:endnote>
  <w:endnote w:type="continuationSeparator" w:id="0">
    <w:p w14:paraId="0B1901B0" w14:textId="77777777" w:rsidR="00761F62" w:rsidRDefault="00761F62" w:rsidP="0053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51B3" w14:textId="77777777" w:rsidR="00761F62" w:rsidRDefault="00761F62" w:rsidP="005366B4">
      <w:pPr>
        <w:spacing w:after="0" w:line="240" w:lineRule="auto"/>
      </w:pPr>
      <w:r>
        <w:separator/>
      </w:r>
    </w:p>
  </w:footnote>
  <w:footnote w:type="continuationSeparator" w:id="0">
    <w:p w14:paraId="248073CD" w14:textId="77777777" w:rsidR="00761F62" w:rsidRDefault="00761F62" w:rsidP="0053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1670" w14:textId="77777777" w:rsidR="005366B4" w:rsidRDefault="005366B4" w:rsidP="005366B4">
    <w:pPr>
      <w:pStyle w:val="Cabealho"/>
      <w:jc w:val="center"/>
      <w:rPr>
        <w:b/>
        <w:sz w:val="28"/>
        <w:szCs w:val="28"/>
      </w:rPr>
    </w:pPr>
  </w:p>
  <w:p w14:paraId="2EA98509" w14:textId="7EC8C3F0" w:rsidR="005366B4" w:rsidRDefault="003C4547" w:rsidP="005366B4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t xml:space="preserve"> </w:t>
    </w:r>
  </w:p>
  <w:p w14:paraId="7711C5B2" w14:textId="7FDA3313" w:rsidR="003C4547" w:rsidRDefault="003C4547" w:rsidP="005366B4">
    <w:pPr>
      <w:pStyle w:val="Cabealho"/>
      <w:jc w:val="center"/>
      <w:rPr>
        <w:noProof/>
        <w:lang w:eastAsia="pt-BR"/>
      </w:rPr>
    </w:pPr>
  </w:p>
  <w:p w14:paraId="70E65204" w14:textId="77777777" w:rsidR="003C4547" w:rsidRDefault="003C4547" w:rsidP="005366B4">
    <w:pPr>
      <w:pStyle w:val="Cabealho"/>
      <w:jc w:val="center"/>
      <w:rPr>
        <w:b/>
        <w:sz w:val="16"/>
        <w:szCs w:val="16"/>
      </w:rPr>
    </w:pPr>
  </w:p>
  <w:p w14:paraId="386181C9" w14:textId="77777777" w:rsidR="005366B4" w:rsidRDefault="005366B4">
    <w:pPr>
      <w:pStyle w:val="Cabealho"/>
    </w:pPr>
  </w:p>
  <w:p w14:paraId="0FBCDBDB" w14:textId="77777777" w:rsidR="005366B4" w:rsidRDefault="005366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B4"/>
    <w:rsid w:val="00056250"/>
    <w:rsid w:val="00077FF6"/>
    <w:rsid w:val="00090952"/>
    <w:rsid w:val="000A4979"/>
    <w:rsid w:val="001453F8"/>
    <w:rsid w:val="00157975"/>
    <w:rsid w:val="0018715D"/>
    <w:rsid w:val="001A251A"/>
    <w:rsid w:val="00247A60"/>
    <w:rsid w:val="002704DA"/>
    <w:rsid w:val="00352323"/>
    <w:rsid w:val="00354FA2"/>
    <w:rsid w:val="00377B59"/>
    <w:rsid w:val="00385A75"/>
    <w:rsid w:val="003862FD"/>
    <w:rsid w:val="003A7C42"/>
    <w:rsid w:val="003B1D63"/>
    <w:rsid w:val="003C4547"/>
    <w:rsid w:val="0041554B"/>
    <w:rsid w:val="00444089"/>
    <w:rsid w:val="00446DA8"/>
    <w:rsid w:val="0049690F"/>
    <w:rsid w:val="00526342"/>
    <w:rsid w:val="005271CB"/>
    <w:rsid w:val="005337AC"/>
    <w:rsid w:val="005344C9"/>
    <w:rsid w:val="005366B4"/>
    <w:rsid w:val="0059116D"/>
    <w:rsid w:val="00593CA1"/>
    <w:rsid w:val="00595F9C"/>
    <w:rsid w:val="005A6A6C"/>
    <w:rsid w:val="005D48A9"/>
    <w:rsid w:val="00615993"/>
    <w:rsid w:val="00636362"/>
    <w:rsid w:val="006900E4"/>
    <w:rsid w:val="006A0BB5"/>
    <w:rsid w:val="006C5A47"/>
    <w:rsid w:val="006D055C"/>
    <w:rsid w:val="006E4580"/>
    <w:rsid w:val="006F2E82"/>
    <w:rsid w:val="006F3DB3"/>
    <w:rsid w:val="00700258"/>
    <w:rsid w:val="007121AC"/>
    <w:rsid w:val="00725914"/>
    <w:rsid w:val="00747B76"/>
    <w:rsid w:val="00761F62"/>
    <w:rsid w:val="00765973"/>
    <w:rsid w:val="00771795"/>
    <w:rsid w:val="007925F0"/>
    <w:rsid w:val="007A4BF7"/>
    <w:rsid w:val="007A7234"/>
    <w:rsid w:val="007D4E81"/>
    <w:rsid w:val="00822811"/>
    <w:rsid w:val="00823F50"/>
    <w:rsid w:val="00832C27"/>
    <w:rsid w:val="008443D7"/>
    <w:rsid w:val="00851B9F"/>
    <w:rsid w:val="0086266F"/>
    <w:rsid w:val="0089383F"/>
    <w:rsid w:val="008B689B"/>
    <w:rsid w:val="008D07B8"/>
    <w:rsid w:val="009068DB"/>
    <w:rsid w:val="00936C35"/>
    <w:rsid w:val="00980FAD"/>
    <w:rsid w:val="009D36F2"/>
    <w:rsid w:val="009D76A0"/>
    <w:rsid w:val="00A04D79"/>
    <w:rsid w:val="00A107C1"/>
    <w:rsid w:val="00A44CE8"/>
    <w:rsid w:val="00A53EE9"/>
    <w:rsid w:val="00A83826"/>
    <w:rsid w:val="00AF2209"/>
    <w:rsid w:val="00B16BD6"/>
    <w:rsid w:val="00B35E93"/>
    <w:rsid w:val="00B54195"/>
    <w:rsid w:val="00B6406D"/>
    <w:rsid w:val="00B71D21"/>
    <w:rsid w:val="00B80801"/>
    <w:rsid w:val="00BA7316"/>
    <w:rsid w:val="00BF321A"/>
    <w:rsid w:val="00C0539D"/>
    <w:rsid w:val="00C123F0"/>
    <w:rsid w:val="00C66DD1"/>
    <w:rsid w:val="00C760E6"/>
    <w:rsid w:val="00C77034"/>
    <w:rsid w:val="00CB0650"/>
    <w:rsid w:val="00CE205B"/>
    <w:rsid w:val="00D26C8B"/>
    <w:rsid w:val="00D34AE8"/>
    <w:rsid w:val="00D44BC4"/>
    <w:rsid w:val="00DB6909"/>
    <w:rsid w:val="00DC2A26"/>
    <w:rsid w:val="00DD66F8"/>
    <w:rsid w:val="00DE22C9"/>
    <w:rsid w:val="00DF736C"/>
    <w:rsid w:val="00E0389D"/>
    <w:rsid w:val="00E21001"/>
    <w:rsid w:val="00E264CE"/>
    <w:rsid w:val="00E33B2F"/>
    <w:rsid w:val="00E41C94"/>
    <w:rsid w:val="00E6363C"/>
    <w:rsid w:val="00EF2A04"/>
    <w:rsid w:val="00F0675C"/>
    <w:rsid w:val="00F33210"/>
    <w:rsid w:val="00F410D7"/>
    <w:rsid w:val="00F45EA4"/>
    <w:rsid w:val="00F555BA"/>
    <w:rsid w:val="00FB3FB6"/>
    <w:rsid w:val="00FC57E1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B717"/>
  <w15:chartTrackingRefBased/>
  <w15:docId w15:val="{4C2D3AEE-885D-46F7-AEE4-1FA59616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 Char Char, Char Char Char,L1 Header,Char"/>
    <w:basedOn w:val="Normal"/>
    <w:link w:val="CabealhoChar"/>
    <w:uiPriority w:val="99"/>
    <w:unhideWhenUsed/>
    <w:rsid w:val="00536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 Char Char, Char Char Char Char,L1 Header Char,Char Char"/>
    <w:basedOn w:val="Fontepargpadro"/>
    <w:link w:val="Cabealho"/>
    <w:uiPriority w:val="99"/>
    <w:rsid w:val="005366B4"/>
  </w:style>
  <w:style w:type="paragraph" w:styleId="Rodap">
    <w:name w:val="footer"/>
    <w:basedOn w:val="Normal"/>
    <w:link w:val="RodapChar"/>
    <w:uiPriority w:val="99"/>
    <w:unhideWhenUsed/>
    <w:rsid w:val="00536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6B4"/>
  </w:style>
  <w:style w:type="character" w:styleId="Hyperlink">
    <w:name w:val="Hyperlink"/>
    <w:rsid w:val="005366B4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Iunes</dc:creator>
  <cp:keywords/>
  <dc:description/>
  <cp:lastModifiedBy>Guilherme - Compras - CMS</cp:lastModifiedBy>
  <cp:revision>7</cp:revision>
  <cp:lastPrinted>2025-08-25T12:14:00Z</cp:lastPrinted>
  <dcterms:created xsi:type="dcterms:W3CDTF">2025-08-20T14:35:00Z</dcterms:created>
  <dcterms:modified xsi:type="dcterms:W3CDTF">2025-11-07T17:27:00Z</dcterms:modified>
</cp:coreProperties>
</file>